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23672" w14:textId="77777777" w:rsidR="00125628" w:rsidRPr="009E1DAA" w:rsidRDefault="009E1DAA" w:rsidP="00EA44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 w:rsidRPr="009E1DAA">
        <w:rPr>
          <w:b/>
          <w:bCs/>
        </w:rPr>
        <w:t>Description of Coverage</w:t>
      </w:r>
    </w:p>
    <w:p w14:paraId="11E87361" w14:textId="79D79BE2" w:rsidR="009E1DAA" w:rsidRPr="00B86A1A" w:rsidRDefault="009E1DAA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>
        <w:t>The Cyber Suite coverage is comprised of the following First Party coverag</w:t>
      </w:r>
      <w:r w:rsidR="00AD327E">
        <w:t>es</w:t>
      </w:r>
      <w:r>
        <w:t>: Data Compromise Response Expenses, Computer Attack, Cyber Extortion, Misdirected Payment Fraud, Computer Fraud,</w:t>
      </w:r>
      <w:r w:rsidR="0036255C">
        <w:t xml:space="preserve"> </w:t>
      </w:r>
      <w:r>
        <w:t xml:space="preserve">Telecommunications Fraud, and Identity Recovery, and the following </w:t>
      </w:r>
      <w:r w:rsidR="00AD327E">
        <w:t>T</w:t>
      </w:r>
      <w:r>
        <w:t>hird</w:t>
      </w:r>
      <w:r w:rsidR="0056594D">
        <w:t>-</w:t>
      </w:r>
      <w:r w:rsidR="00AD327E">
        <w:t>P</w:t>
      </w:r>
      <w:r>
        <w:t>arty coverage</w:t>
      </w:r>
      <w:r w:rsidR="00AD327E">
        <w:t xml:space="preserve">s: </w:t>
      </w:r>
      <w:r>
        <w:t>Privac</w:t>
      </w:r>
      <w:r w:rsidR="00AD327E">
        <w:t>y Incident Liability, Network Security Liability, and Electronic Media Liability.</w:t>
      </w:r>
      <w:r w:rsidR="00114A43">
        <w:t xml:space="preserve"> </w:t>
      </w:r>
    </w:p>
    <w:p w14:paraId="1D9F1075" w14:textId="3A4AC326" w:rsidR="009E1DAA" w:rsidRDefault="009E1DAA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612D517C" w14:textId="3245DA7A" w:rsidR="00D1000E" w:rsidRPr="00A83E0F" w:rsidRDefault="00D1000E" w:rsidP="00EA44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 w:rsidRPr="00A83E0F">
        <w:rPr>
          <w:b/>
          <w:bCs/>
        </w:rPr>
        <w:t>Form</w:t>
      </w:r>
    </w:p>
    <w:p w14:paraId="3CDB4566" w14:textId="7FF75565" w:rsidR="001140F1" w:rsidRPr="00A83E0F" w:rsidRDefault="001140F1" w:rsidP="00624F67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 w:rsidRPr="00A83E0F">
        <w:t xml:space="preserve">Use Cyber Suite </w:t>
      </w:r>
      <w:r w:rsidR="008B0BD9" w:rsidRPr="00A83E0F">
        <w:t xml:space="preserve">Coverage </w:t>
      </w:r>
      <w:r w:rsidRPr="00A83E0F">
        <w:t xml:space="preserve">Form Number </w:t>
      </w:r>
      <w:r w:rsidR="0056594D">
        <w:t>148503.</w:t>
      </w:r>
    </w:p>
    <w:p w14:paraId="086F8B97" w14:textId="77777777" w:rsidR="00D1000E" w:rsidRDefault="00D1000E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7A47162B" w14:textId="77777777" w:rsidR="009E1DAA" w:rsidRDefault="00AD327E" w:rsidP="00EA44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 w:rsidRPr="00AD327E">
        <w:rPr>
          <w:b/>
          <w:bCs/>
        </w:rPr>
        <w:t>Eligibility</w:t>
      </w:r>
    </w:p>
    <w:p w14:paraId="142A5C45" w14:textId="5EDE725C" w:rsidR="00AD327E" w:rsidRDefault="00C635C3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 w:rsidRPr="00C635C3">
        <w:t>All insured entities are eligible. The following classes of business are ineligible for this program</w:t>
      </w:r>
      <w:r>
        <w:t xml:space="preserve">: </w:t>
      </w:r>
      <w:r w:rsidR="00AD327E" w:rsidRPr="00AD327E">
        <w:t xml:space="preserve">Financial Institutions, Adult Business, Gambling or Gaming, Credit Card or Financial Transaction Processing, Hospitals, Credit Reporting Agencies, Collection Agents, Information/Data Brokers, Cannabis Facilities, Telecommunications Firms, Data Processors, </w:t>
      </w:r>
      <w:r w:rsidR="004E7365">
        <w:t xml:space="preserve">and </w:t>
      </w:r>
      <w:r w:rsidR="00AD327E" w:rsidRPr="00AD327E">
        <w:t>IT Outsourcing Companies.</w:t>
      </w:r>
    </w:p>
    <w:p w14:paraId="3822853B" w14:textId="77777777" w:rsidR="00AD327E" w:rsidRDefault="00AD327E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1F5DEAD3" w14:textId="77777777" w:rsidR="00AD327E" w:rsidRDefault="00AD327E" w:rsidP="00EA44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 w:rsidRPr="00AD327E">
        <w:rPr>
          <w:b/>
          <w:bCs/>
        </w:rPr>
        <w:t>Coverage Limits and Sublimits</w:t>
      </w:r>
    </w:p>
    <w:p w14:paraId="71065194" w14:textId="731B5834" w:rsidR="00AD327E" w:rsidRDefault="00CD5355" w:rsidP="000311AE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>
        <w:t>Refer to the Rate Table and Sublimit Table for available limits and sublimits.</w:t>
      </w:r>
      <w:r w:rsidR="00A83E0F">
        <w:t xml:space="preserve"> </w:t>
      </w:r>
    </w:p>
    <w:p w14:paraId="1A748C0F" w14:textId="77777777" w:rsidR="00CD5355" w:rsidRDefault="00CD5355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042DE781" w14:textId="403147FB" w:rsidR="00CD5355" w:rsidRDefault="00CD5355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 w:rsidRPr="00C10E18">
        <w:t xml:space="preserve">A single Cyber Suite </w:t>
      </w:r>
      <w:r w:rsidR="00AF502C" w:rsidRPr="00C10E18">
        <w:t xml:space="preserve">annual </w:t>
      </w:r>
      <w:r w:rsidRPr="00C10E18">
        <w:t xml:space="preserve">aggregate limit applies to Data Compromise Response Expenses, Computer Attack, Privacy Incident Liability, Network Security Liability, and Electronic Media Liability. </w:t>
      </w:r>
      <w:r w:rsidR="00BB313D">
        <w:t>Identity Recovery is subject to a separate and independent $25,000 limit per identity recovery insured.</w:t>
      </w:r>
    </w:p>
    <w:p w14:paraId="7C09DEC0" w14:textId="77777777" w:rsidR="00235B2E" w:rsidRPr="00235B2E" w:rsidRDefault="00235B2E" w:rsidP="00235B2E">
      <w:pPr>
        <w:spacing w:line="240" w:lineRule="auto"/>
        <w:jc w:val="both"/>
        <w:rPr>
          <w:color w:val="69962C" w:themeColor="accent2" w:themeShade="BF"/>
        </w:rPr>
      </w:pPr>
    </w:p>
    <w:p w14:paraId="5D88A42B" w14:textId="483832EF" w:rsidR="00235B2E" w:rsidRDefault="004E7365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 w:rsidRPr="004E7365">
        <w:t xml:space="preserve">The following coverages are </w:t>
      </w:r>
      <w:proofErr w:type="spellStart"/>
      <w:r w:rsidRPr="004E7365">
        <w:t>sublimited</w:t>
      </w:r>
      <w:proofErr w:type="spellEnd"/>
      <w:r w:rsidRPr="004E7365">
        <w:t xml:space="preserve"> under the Cyber Suite annual aggregate limit: Cyber Extortion, Misdirected Payment Fraud, Computer Fraud, Telecommunications Fraud, Future Loss Avoidance, Reputational Harm, Public Relations, and Reward Payments.</w:t>
      </w:r>
    </w:p>
    <w:p w14:paraId="2F06D304" w14:textId="77777777" w:rsidR="004E7365" w:rsidRDefault="004E7365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3D9BAA18" w14:textId="77777777" w:rsidR="00BB313D" w:rsidRPr="00BB313D" w:rsidRDefault="00BB313D" w:rsidP="00EA44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 w:rsidRPr="00BB313D">
        <w:rPr>
          <w:b/>
          <w:bCs/>
        </w:rPr>
        <w:t>Deductible</w:t>
      </w:r>
    </w:p>
    <w:p w14:paraId="17D930D0" w14:textId="1DF024EB" w:rsidR="00CD5355" w:rsidRDefault="00BB313D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>
        <w:t>Refer to the Rate Table for available deductibles</w:t>
      </w:r>
      <w:r w:rsidR="00A32735">
        <w:t>. No deductible applies to Identity Recovery.</w:t>
      </w:r>
    </w:p>
    <w:p w14:paraId="02326A17" w14:textId="77777777" w:rsidR="00BB313D" w:rsidRDefault="00BB313D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631CB59E" w14:textId="77777777" w:rsidR="00BB313D" w:rsidRDefault="00BB313D" w:rsidP="00EA44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 w:rsidRPr="00BB313D">
        <w:rPr>
          <w:b/>
          <w:bCs/>
        </w:rPr>
        <w:t>Premium Determination</w:t>
      </w:r>
    </w:p>
    <w:p w14:paraId="5F705041" w14:textId="6EE22F9E" w:rsidR="00BB313D" w:rsidRDefault="00BB313D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>
        <w:t>Refer to the Rate Table</w:t>
      </w:r>
      <w:r w:rsidR="00114A43">
        <w:t xml:space="preserve">. </w:t>
      </w:r>
      <w:r w:rsidR="00114A43" w:rsidRPr="003B31A5">
        <w:t>The premiums shown are annual gross premiums per polic</w:t>
      </w:r>
      <w:r w:rsidR="00A32735">
        <w:t>y.</w:t>
      </w:r>
      <w:r w:rsidR="00114A43">
        <w:t xml:space="preserve"> Premiums </w:t>
      </w:r>
      <w:r w:rsidR="00114A43" w:rsidRPr="00A32735">
        <w:t xml:space="preserve">will be </w:t>
      </w:r>
      <w:r w:rsidR="00114A43">
        <w:t>prorated for short or odd-term policies. These premiums are not subject to further modification by the application of any other factors not shown in these tables (e.g. package factors, company deviations, or IRPM factors).</w:t>
      </w:r>
    </w:p>
    <w:p w14:paraId="32B6E816" w14:textId="2D1FC6BB" w:rsidR="00A44D7A" w:rsidRDefault="00A44D7A" w:rsidP="00EA444C">
      <w:pPr>
        <w:spacing w:line="240" w:lineRule="auto"/>
        <w:jc w:val="both"/>
      </w:pPr>
    </w:p>
    <w:p w14:paraId="3717C11C" w14:textId="45B3EFC9" w:rsidR="00AF052D" w:rsidRPr="00A32735" w:rsidRDefault="00AF052D" w:rsidP="00A32735">
      <w:pPr>
        <w:spacing w:line="240" w:lineRule="auto"/>
        <w:ind w:left="360"/>
        <w:jc w:val="both"/>
      </w:pPr>
      <w:r w:rsidRPr="00A32735">
        <w:t>Premiums will be assigned based on</w:t>
      </w:r>
      <w:r w:rsidR="00A32735">
        <w:t xml:space="preserve"> the limit and deductible selected, and by</w:t>
      </w:r>
      <w:r w:rsidRPr="00A32735">
        <w:t xml:space="preserve"> the following rating tier</w:t>
      </w:r>
      <w:r w:rsidR="00A32735">
        <w:t xml:space="preserve"> classes</w:t>
      </w:r>
      <w:r w:rsidRPr="00A32735">
        <w:t>:</w:t>
      </w:r>
    </w:p>
    <w:p w14:paraId="17164959" w14:textId="77777777" w:rsidR="00AF052D" w:rsidRDefault="00AF052D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  <w:rPr>
          <w:b/>
          <w:bCs/>
        </w:rPr>
      </w:pPr>
    </w:p>
    <w:p w14:paraId="456438F8" w14:textId="6004113D" w:rsidR="00A44D7A" w:rsidRDefault="00A44D7A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  <w:rPr>
          <w:b/>
          <w:bCs/>
        </w:rPr>
      </w:pPr>
      <w:r>
        <w:rPr>
          <w:b/>
          <w:bCs/>
        </w:rPr>
        <w:t>Tier 1 Classes</w:t>
      </w:r>
    </w:p>
    <w:p w14:paraId="1B68A187" w14:textId="57DDB5CE" w:rsidR="008C65F4" w:rsidRDefault="008C65F4" w:rsidP="008C65F4">
      <w:pPr>
        <w:spacing w:line="240" w:lineRule="auto"/>
        <w:ind w:left="360"/>
      </w:pPr>
      <w:r>
        <w:t xml:space="preserve">Industries that are unlikely to experience a cyber incident and, should they experience a cyber incident, it would have a minimal impact on their business operations due to low dependency on software, technology, or data, a lack of sensitive data being collected/stored, or a lack of high value transactions. These industries would generally be able to continue to conduct business as usual in the event of a cyber incident. </w:t>
      </w:r>
    </w:p>
    <w:p w14:paraId="6984221F" w14:textId="1809715E" w:rsidR="00A44D7A" w:rsidRDefault="00A44D7A" w:rsidP="00A04D9F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044727E8" w14:textId="3A4B15F6" w:rsidR="00A44D7A" w:rsidRDefault="00A44D7A" w:rsidP="0041347A">
      <w:pPr>
        <w:spacing w:after="200"/>
        <w:ind w:firstLine="360"/>
        <w:rPr>
          <w:b/>
          <w:bCs/>
        </w:rPr>
      </w:pPr>
      <w:r>
        <w:rPr>
          <w:b/>
          <w:bCs/>
        </w:rPr>
        <w:t>Tier 2 Classes</w:t>
      </w:r>
    </w:p>
    <w:p w14:paraId="4FFBEEC1" w14:textId="6FDDC2C8" w:rsidR="004E7365" w:rsidRDefault="008C65F4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 w:rsidRPr="008C65F4">
        <w:t>Industries that have a low likelihood of experiencing a cyber incident.  These industries have minimal system dependency on software, technology, or data, collect/store minimal sensitive data, or have minimal high value transactions.  Due to the level of system dependency, information collected/stored, or high value transactions, a cyber incident would have a low impact on their business operations.</w:t>
      </w:r>
    </w:p>
    <w:p w14:paraId="29865D6E" w14:textId="77777777" w:rsidR="008C65F4" w:rsidRDefault="008C65F4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  <w:rPr>
          <w:b/>
          <w:bCs/>
        </w:rPr>
      </w:pPr>
    </w:p>
    <w:p w14:paraId="1A52DD6B" w14:textId="77777777" w:rsidR="0041347A" w:rsidRDefault="0041347A">
      <w:pPr>
        <w:spacing w:after="200"/>
        <w:rPr>
          <w:b/>
          <w:bCs/>
        </w:rPr>
      </w:pPr>
      <w:r>
        <w:rPr>
          <w:b/>
          <w:bCs/>
        </w:rPr>
        <w:br w:type="page"/>
      </w:r>
    </w:p>
    <w:p w14:paraId="5B2C66EA" w14:textId="76F46EFD" w:rsidR="00A44D7A" w:rsidRDefault="00A44D7A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  <w:rPr>
          <w:b/>
          <w:bCs/>
        </w:rPr>
      </w:pPr>
      <w:r>
        <w:rPr>
          <w:b/>
          <w:bCs/>
        </w:rPr>
        <w:t>Tier 3 Classes</w:t>
      </w:r>
    </w:p>
    <w:p w14:paraId="56A65486" w14:textId="464007B4" w:rsidR="00A04D9F" w:rsidRDefault="008C65F4" w:rsidP="00A04D9F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 w:rsidRPr="008C65F4">
        <w:t xml:space="preserve">Industries that have a moderate likelihood of experiencing a cyber incident.  These industries have some system dependency on software, technology, or data, collect/store sensitive data, or process </w:t>
      </w:r>
      <w:r w:rsidRPr="008C65F4">
        <w:lastRenderedPageBreak/>
        <w:t>high value transactions.  Due to the level of system dependency, information collected/stored, or high value transactions, a cyber incident would have a moderate impact on their business operations.</w:t>
      </w:r>
    </w:p>
    <w:p w14:paraId="21745504" w14:textId="77777777" w:rsidR="008C65F4" w:rsidRDefault="008C65F4" w:rsidP="00A04D9F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2593C62B" w14:textId="473EC1BE" w:rsidR="00A44D7A" w:rsidRPr="008C65F4" w:rsidRDefault="00A44D7A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  <w:rPr>
          <w:b/>
          <w:bCs/>
        </w:rPr>
      </w:pPr>
      <w:r w:rsidRPr="008C65F4">
        <w:rPr>
          <w:b/>
          <w:bCs/>
        </w:rPr>
        <w:t>Tier 4 Classes</w:t>
      </w:r>
    </w:p>
    <w:p w14:paraId="5B66830A" w14:textId="4D9DED9D" w:rsidR="00A44D7A" w:rsidRPr="008C65F4" w:rsidRDefault="008C65F4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 w:rsidRPr="008C65F4">
        <w:t xml:space="preserve">Industries that have a high likelihood of experiencing a cyber incident.  These industries have substantial system dependency on software, technology, or </w:t>
      </w:r>
      <w:r w:rsidR="0056594D" w:rsidRPr="008C65F4">
        <w:t>data, collect</w:t>
      </w:r>
      <w:r w:rsidRPr="008C65F4">
        <w:t>/store highly sensitive data, or process significant high value transactions.  Due to the substantial level of system dependency, information collected/stored, or high value transactions, a cyber incident would have a high impact on their business operations.</w:t>
      </w:r>
    </w:p>
    <w:p w14:paraId="6607FDC6" w14:textId="195855DA" w:rsidR="008C65F4" w:rsidRDefault="008C65F4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6CE24F2E" w14:textId="7624AD30" w:rsidR="008C65F4" w:rsidRDefault="008C65F4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  <w:rPr>
          <w:b/>
          <w:bCs/>
        </w:rPr>
      </w:pPr>
      <w:r w:rsidRPr="008C65F4">
        <w:rPr>
          <w:b/>
          <w:bCs/>
        </w:rPr>
        <w:t>Tier 5 Classes</w:t>
      </w:r>
    </w:p>
    <w:p w14:paraId="7814F1D6" w14:textId="30A03252" w:rsidR="008C65F4" w:rsidRPr="008C65F4" w:rsidRDefault="008C65F4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 w:rsidRPr="008C65F4">
        <w:t>Industries that have a very high likelihood of experiencing a cyber incident.  These industries have critical system dependency on software, technology, or data, collect/store highly sensitive data, or process significant high value transactions.  Due to the level of system dependency, information collected/stored, or high value transactions, a cyber incident would have a significant impact on their business operations.</w:t>
      </w:r>
    </w:p>
    <w:p w14:paraId="13D2CEE8" w14:textId="77777777" w:rsidR="008C65F4" w:rsidRPr="008C65F4" w:rsidRDefault="008C65F4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40DBB6D3" w14:textId="59577B7E" w:rsidR="00A44D7A" w:rsidRDefault="00A44D7A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  <w:rPr>
          <w:b/>
          <w:bCs/>
        </w:rPr>
      </w:pPr>
      <w:r>
        <w:rPr>
          <w:b/>
          <w:bCs/>
        </w:rPr>
        <w:t>Rate Table</w:t>
      </w:r>
    </w:p>
    <w:tbl>
      <w:tblPr>
        <w:tblStyle w:val="TableGrid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1167"/>
        <w:gridCol w:w="1168"/>
        <w:gridCol w:w="918"/>
        <w:gridCol w:w="918"/>
        <w:gridCol w:w="918"/>
        <w:gridCol w:w="918"/>
        <w:gridCol w:w="918"/>
      </w:tblGrid>
      <w:tr w:rsidR="008C65F4" w:rsidRPr="00551294" w14:paraId="7754C632" w14:textId="7294E492" w:rsidTr="008C65F4">
        <w:tc>
          <w:tcPr>
            <w:tcW w:w="1167" w:type="dxa"/>
            <w:vAlign w:val="bottom"/>
          </w:tcPr>
          <w:p w14:paraId="0CFFD613" w14:textId="77777777" w:rsidR="008C65F4" w:rsidRPr="00551294" w:rsidRDefault="008C65F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Annual Aggregate Limits</w:t>
            </w:r>
          </w:p>
        </w:tc>
        <w:tc>
          <w:tcPr>
            <w:tcW w:w="1168" w:type="dxa"/>
            <w:vAlign w:val="bottom"/>
          </w:tcPr>
          <w:p w14:paraId="4DC45A7D" w14:textId="77777777" w:rsidR="008C65F4" w:rsidRPr="00551294" w:rsidRDefault="008C65F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Deductible</w:t>
            </w:r>
          </w:p>
        </w:tc>
        <w:tc>
          <w:tcPr>
            <w:tcW w:w="918" w:type="dxa"/>
            <w:vAlign w:val="bottom"/>
          </w:tcPr>
          <w:p w14:paraId="00D0411C" w14:textId="77777777" w:rsidR="008C65F4" w:rsidRPr="00551294" w:rsidRDefault="008C65F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Tier 1</w:t>
            </w:r>
          </w:p>
        </w:tc>
        <w:tc>
          <w:tcPr>
            <w:tcW w:w="918" w:type="dxa"/>
            <w:vAlign w:val="bottom"/>
          </w:tcPr>
          <w:p w14:paraId="505E7E87" w14:textId="77777777" w:rsidR="008C65F4" w:rsidRPr="00551294" w:rsidRDefault="008C65F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Tier 2</w:t>
            </w:r>
          </w:p>
        </w:tc>
        <w:tc>
          <w:tcPr>
            <w:tcW w:w="918" w:type="dxa"/>
            <w:vAlign w:val="bottom"/>
          </w:tcPr>
          <w:p w14:paraId="5428D317" w14:textId="77777777" w:rsidR="008C65F4" w:rsidRPr="00551294" w:rsidRDefault="008C65F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Tier 3</w:t>
            </w:r>
          </w:p>
        </w:tc>
        <w:tc>
          <w:tcPr>
            <w:tcW w:w="918" w:type="dxa"/>
            <w:vAlign w:val="bottom"/>
          </w:tcPr>
          <w:p w14:paraId="3D36FAB0" w14:textId="77777777" w:rsidR="008C65F4" w:rsidRPr="00551294" w:rsidRDefault="008C65F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Tier 4</w:t>
            </w:r>
          </w:p>
        </w:tc>
        <w:tc>
          <w:tcPr>
            <w:tcW w:w="918" w:type="dxa"/>
            <w:vAlign w:val="bottom"/>
          </w:tcPr>
          <w:p w14:paraId="5511AFD8" w14:textId="721F173A" w:rsidR="008C65F4" w:rsidRPr="00551294" w:rsidRDefault="008C65F4" w:rsidP="008C65F4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Tier 5</w:t>
            </w:r>
          </w:p>
        </w:tc>
      </w:tr>
      <w:tr w:rsidR="00C10E18" w:rsidRPr="00551294" w14:paraId="24D76B4C" w14:textId="77777777" w:rsidTr="00194286">
        <w:tc>
          <w:tcPr>
            <w:tcW w:w="1167" w:type="dxa"/>
            <w:vAlign w:val="bottom"/>
          </w:tcPr>
          <w:p w14:paraId="69AF2487" w14:textId="6F2D626F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>$25,000</w:t>
            </w:r>
          </w:p>
        </w:tc>
        <w:tc>
          <w:tcPr>
            <w:tcW w:w="1168" w:type="dxa"/>
            <w:vAlign w:val="bottom"/>
          </w:tcPr>
          <w:p w14:paraId="7F1933AB" w14:textId="30F3AAA6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>$1,000</w:t>
            </w:r>
          </w:p>
        </w:tc>
        <w:tc>
          <w:tcPr>
            <w:tcW w:w="918" w:type="dxa"/>
          </w:tcPr>
          <w:p w14:paraId="04E02528" w14:textId="5683B6D9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$276 </w:t>
            </w:r>
          </w:p>
        </w:tc>
        <w:tc>
          <w:tcPr>
            <w:tcW w:w="918" w:type="dxa"/>
          </w:tcPr>
          <w:p w14:paraId="25FE10BA" w14:textId="160A91E1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$310 </w:t>
            </w:r>
          </w:p>
        </w:tc>
        <w:tc>
          <w:tcPr>
            <w:tcW w:w="918" w:type="dxa"/>
          </w:tcPr>
          <w:p w14:paraId="1ED474F5" w14:textId="2E8B1F8F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$346 </w:t>
            </w:r>
          </w:p>
        </w:tc>
        <w:tc>
          <w:tcPr>
            <w:tcW w:w="918" w:type="dxa"/>
          </w:tcPr>
          <w:p w14:paraId="5797961F" w14:textId="2A467AFB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$510 </w:t>
            </w:r>
          </w:p>
        </w:tc>
        <w:tc>
          <w:tcPr>
            <w:tcW w:w="918" w:type="dxa"/>
          </w:tcPr>
          <w:p w14:paraId="6D670929" w14:textId="6CE8B457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$1,274 </w:t>
            </w:r>
          </w:p>
        </w:tc>
      </w:tr>
      <w:tr w:rsidR="00E1000C" w:rsidRPr="00551294" w14:paraId="0107C8DC" w14:textId="77777777" w:rsidTr="001B3AC2">
        <w:tc>
          <w:tcPr>
            <w:tcW w:w="1167" w:type="dxa"/>
            <w:vAlign w:val="bottom"/>
          </w:tcPr>
          <w:p w14:paraId="107F280D" w14:textId="37C808E8" w:rsidR="00E1000C" w:rsidRPr="00C10E18" w:rsidRDefault="00E1000C" w:rsidP="00E1000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>$25,000</w:t>
            </w:r>
          </w:p>
        </w:tc>
        <w:tc>
          <w:tcPr>
            <w:tcW w:w="1168" w:type="dxa"/>
            <w:vAlign w:val="bottom"/>
          </w:tcPr>
          <w:p w14:paraId="79303D2E" w14:textId="61FC6F95" w:rsidR="00E1000C" w:rsidRPr="00C10E18" w:rsidRDefault="00E1000C" w:rsidP="00E1000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>$2,500</w:t>
            </w:r>
          </w:p>
        </w:tc>
        <w:tc>
          <w:tcPr>
            <w:tcW w:w="918" w:type="dxa"/>
            <w:vAlign w:val="bottom"/>
          </w:tcPr>
          <w:p w14:paraId="4AA81255" w14:textId="7FCD02FD" w:rsidR="00E1000C" w:rsidRPr="00C10E18" w:rsidRDefault="00E1000C" w:rsidP="00E1000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$268 </w:t>
            </w:r>
          </w:p>
        </w:tc>
        <w:tc>
          <w:tcPr>
            <w:tcW w:w="918" w:type="dxa"/>
            <w:vAlign w:val="bottom"/>
          </w:tcPr>
          <w:p w14:paraId="2CD43433" w14:textId="3A698D8B" w:rsidR="00E1000C" w:rsidRPr="00C10E18" w:rsidRDefault="00E1000C" w:rsidP="00E1000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$300 </w:t>
            </w:r>
          </w:p>
        </w:tc>
        <w:tc>
          <w:tcPr>
            <w:tcW w:w="918" w:type="dxa"/>
            <w:vAlign w:val="bottom"/>
          </w:tcPr>
          <w:p w14:paraId="63E362E4" w14:textId="72426A00" w:rsidR="00E1000C" w:rsidRPr="00C10E18" w:rsidRDefault="00E1000C" w:rsidP="00E1000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$335 </w:t>
            </w:r>
          </w:p>
        </w:tc>
        <w:tc>
          <w:tcPr>
            <w:tcW w:w="918" w:type="dxa"/>
            <w:vAlign w:val="bottom"/>
          </w:tcPr>
          <w:p w14:paraId="2555A0EB" w14:textId="2D91808A" w:rsidR="00E1000C" w:rsidRPr="00C10E18" w:rsidRDefault="00E1000C" w:rsidP="00E1000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$494 </w:t>
            </w:r>
          </w:p>
        </w:tc>
        <w:tc>
          <w:tcPr>
            <w:tcW w:w="918" w:type="dxa"/>
            <w:vAlign w:val="bottom"/>
          </w:tcPr>
          <w:p w14:paraId="610B13E9" w14:textId="23052EAF" w:rsidR="00E1000C" w:rsidRPr="00C10E18" w:rsidRDefault="00E1000C" w:rsidP="00E1000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$1,235 </w:t>
            </w:r>
          </w:p>
        </w:tc>
      </w:tr>
      <w:tr w:rsidR="00C10E18" w:rsidRPr="00551294" w14:paraId="1F3FDCBF" w14:textId="2293E695" w:rsidTr="00362EC2">
        <w:tc>
          <w:tcPr>
            <w:tcW w:w="1167" w:type="dxa"/>
          </w:tcPr>
          <w:p w14:paraId="0A445FDC" w14:textId="77777777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$50,000</w:t>
            </w:r>
          </w:p>
        </w:tc>
        <w:tc>
          <w:tcPr>
            <w:tcW w:w="1168" w:type="dxa"/>
          </w:tcPr>
          <w:p w14:paraId="7C1E24F4" w14:textId="77777777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$1,000</w:t>
            </w:r>
          </w:p>
        </w:tc>
        <w:tc>
          <w:tcPr>
            <w:tcW w:w="918" w:type="dxa"/>
          </w:tcPr>
          <w:p w14:paraId="2B7CA106" w14:textId="327E25C5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$384 </w:t>
            </w:r>
          </w:p>
        </w:tc>
        <w:tc>
          <w:tcPr>
            <w:tcW w:w="918" w:type="dxa"/>
          </w:tcPr>
          <w:p w14:paraId="673A2ABC" w14:textId="2C7BC132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$430 </w:t>
            </w:r>
          </w:p>
        </w:tc>
        <w:tc>
          <w:tcPr>
            <w:tcW w:w="918" w:type="dxa"/>
          </w:tcPr>
          <w:p w14:paraId="3D865A0B" w14:textId="22AF71B5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$480 </w:t>
            </w:r>
          </w:p>
        </w:tc>
        <w:tc>
          <w:tcPr>
            <w:tcW w:w="918" w:type="dxa"/>
          </w:tcPr>
          <w:p w14:paraId="6639397A" w14:textId="3FA9FEBA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$708 </w:t>
            </w:r>
          </w:p>
        </w:tc>
        <w:tc>
          <w:tcPr>
            <w:tcW w:w="918" w:type="dxa"/>
          </w:tcPr>
          <w:p w14:paraId="1F01B84C" w14:textId="779DF477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$1,769 </w:t>
            </w:r>
          </w:p>
        </w:tc>
      </w:tr>
      <w:tr w:rsidR="00C10E18" w:rsidRPr="00551294" w14:paraId="563D0E61" w14:textId="77777777" w:rsidTr="00362EC2">
        <w:tc>
          <w:tcPr>
            <w:tcW w:w="1167" w:type="dxa"/>
          </w:tcPr>
          <w:p w14:paraId="14AB8F8B" w14:textId="2D24E1DB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$50,000</w:t>
            </w:r>
          </w:p>
        </w:tc>
        <w:tc>
          <w:tcPr>
            <w:tcW w:w="1168" w:type="dxa"/>
          </w:tcPr>
          <w:p w14:paraId="14AE78CD" w14:textId="4A859890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$2,500</w:t>
            </w:r>
          </w:p>
        </w:tc>
        <w:tc>
          <w:tcPr>
            <w:tcW w:w="918" w:type="dxa"/>
          </w:tcPr>
          <w:p w14:paraId="045D17E2" w14:textId="01B883B4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$372 </w:t>
            </w:r>
          </w:p>
        </w:tc>
        <w:tc>
          <w:tcPr>
            <w:tcW w:w="918" w:type="dxa"/>
          </w:tcPr>
          <w:p w14:paraId="0269F08D" w14:textId="1EA13748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$417 </w:t>
            </w:r>
          </w:p>
        </w:tc>
        <w:tc>
          <w:tcPr>
            <w:tcW w:w="918" w:type="dxa"/>
          </w:tcPr>
          <w:p w14:paraId="353E1496" w14:textId="29D2830D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$466 </w:t>
            </w:r>
          </w:p>
        </w:tc>
        <w:tc>
          <w:tcPr>
            <w:tcW w:w="918" w:type="dxa"/>
          </w:tcPr>
          <w:p w14:paraId="29A87D49" w14:textId="0BFA558E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$687 </w:t>
            </w:r>
          </w:p>
        </w:tc>
        <w:tc>
          <w:tcPr>
            <w:tcW w:w="918" w:type="dxa"/>
          </w:tcPr>
          <w:p w14:paraId="3FDB2C3E" w14:textId="1DB0D52C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$1,716 </w:t>
            </w:r>
          </w:p>
        </w:tc>
      </w:tr>
      <w:tr w:rsidR="00C10E18" w:rsidRPr="00551294" w14:paraId="12F36E84" w14:textId="2008111B" w:rsidTr="00362EC2">
        <w:tc>
          <w:tcPr>
            <w:tcW w:w="1167" w:type="dxa"/>
          </w:tcPr>
          <w:p w14:paraId="70045976" w14:textId="77777777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$100,000</w:t>
            </w:r>
          </w:p>
        </w:tc>
        <w:tc>
          <w:tcPr>
            <w:tcW w:w="1168" w:type="dxa"/>
          </w:tcPr>
          <w:p w14:paraId="71E8E80B" w14:textId="77777777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$1,000</w:t>
            </w:r>
          </w:p>
        </w:tc>
        <w:tc>
          <w:tcPr>
            <w:tcW w:w="918" w:type="dxa"/>
          </w:tcPr>
          <w:p w14:paraId="0F1AE8A8" w14:textId="63E72017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$595 </w:t>
            </w:r>
          </w:p>
        </w:tc>
        <w:tc>
          <w:tcPr>
            <w:tcW w:w="918" w:type="dxa"/>
          </w:tcPr>
          <w:p w14:paraId="165C35D9" w14:textId="34C706CC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$666 </w:t>
            </w:r>
          </w:p>
        </w:tc>
        <w:tc>
          <w:tcPr>
            <w:tcW w:w="918" w:type="dxa"/>
          </w:tcPr>
          <w:p w14:paraId="6A8A7DE0" w14:textId="525C7DED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$744 </w:t>
            </w:r>
          </w:p>
        </w:tc>
        <w:tc>
          <w:tcPr>
            <w:tcW w:w="918" w:type="dxa"/>
          </w:tcPr>
          <w:p w14:paraId="5E0BF57B" w14:textId="4157C151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$1,097 </w:t>
            </w:r>
          </w:p>
        </w:tc>
        <w:tc>
          <w:tcPr>
            <w:tcW w:w="918" w:type="dxa"/>
          </w:tcPr>
          <w:p w14:paraId="7084F5F3" w14:textId="5EA0208F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$2,742 </w:t>
            </w:r>
          </w:p>
        </w:tc>
      </w:tr>
      <w:tr w:rsidR="00C10E18" w:rsidRPr="00551294" w14:paraId="645CE624" w14:textId="77777777" w:rsidTr="00362EC2">
        <w:tc>
          <w:tcPr>
            <w:tcW w:w="1167" w:type="dxa"/>
          </w:tcPr>
          <w:p w14:paraId="326E6A57" w14:textId="5AAC67BD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$100,000</w:t>
            </w:r>
          </w:p>
        </w:tc>
        <w:tc>
          <w:tcPr>
            <w:tcW w:w="1168" w:type="dxa"/>
          </w:tcPr>
          <w:p w14:paraId="50F26824" w14:textId="6DE8CB84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$2,500</w:t>
            </w:r>
          </w:p>
        </w:tc>
        <w:tc>
          <w:tcPr>
            <w:tcW w:w="918" w:type="dxa"/>
          </w:tcPr>
          <w:p w14:paraId="7E92136D" w14:textId="400DE983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$577 </w:t>
            </w:r>
          </w:p>
        </w:tc>
        <w:tc>
          <w:tcPr>
            <w:tcW w:w="918" w:type="dxa"/>
          </w:tcPr>
          <w:p w14:paraId="45004172" w14:textId="70C41F14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$646 </w:t>
            </w:r>
          </w:p>
        </w:tc>
        <w:tc>
          <w:tcPr>
            <w:tcW w:w="918" w:type="dxa"/>
          </w:tcPr>
          <w:p w14:paraId="35DB8E34" w14:textId="2EE92FF6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$722 </w:t>
            </w:r>
          </w:p>
        </w:tc>
        <w:tc>
          <w:tcPr>
            <w:tcW w:w="918" w:type="dxa"/>
          </w:tcPr>
          <w:p w14:paraId="42EB27EC" w14:textId="42E1C736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$1,064 </w:t>
            </w:r>
          </w:p>
        </w:tc>
        <w:tc>
          <w:tcPr>
            <w:tcW w:w="918" w:type="dxa"/>
          </w:tcPr>
          <w:p w14:paraId="52676A11" w14:textId="6AA42A19" w:rsidR="00C10E18" w:rsidRPr="00C10E18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10E18">
              <w:rPr>
                <w:sz w:val="18"/>
                <w:szCs w:val="18"/>
              </w:rPr>
              <w:t xml:space="preserve">$2,660 </w:t>
            </w:r>
          </w:p>
        </w:tc>
      </w:tr>
      <w:tr w:rsidR="00C10E18" w:rsidRPr="00551294" w14:paraId="05E597DD" w14:textId="37DC4D82" w:rsidTr="00887F05">
        <w:tc>
          <w:tcPr>
            <w:tcW w:w="1167" w:type="dxa"/>
          </w:tcPr>
          <w:p w14:paraId="1FE372B4" w14:textId="77777777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$250,000</w:t>
            </w:r>
          </w:p>
        </w:tc>
        <w:tc>
          <w:tcPr>
            <w:tcW w:w="1168" w:type="dxa"/>
          </w:tcPr>
          <w:p w14:paraId="73B4386E" w14:textId="77777777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$2,500</w:t>
            </w:r>
          </w:p>
        </w:tc>
        <w:tc>
          <w:tcPr>
            <w:tcW w:w="918" w:type="dxa"/>
            <w:vAlign w:val="bottom"/>
          </w:tcPr>
          <w:p w14:paraId="63E5DA61" w14:textId="3313FDBD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$1,126 </w:t>
            </w:r>
          </w:p>
        </w:tc>
        <w:tc>
          <w:tcPr>
            <w:tcW w:w="918" w:type="dxa"/>
            <w:vAlign w:val="bottom"/>
          </w:tcPr>
          <w:p w14:paraId="03F7B659" w14:textId="20F9FEB9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$1,259 </w:t>
            </w:r>
          </w:p>
        </w:tc>
        <w:tc>
          <w:tcPr>
            <w:tcW w:w="918" w:type="dxa"/>
            <w:vAlign w:val="bottom"/>
          </w:tcPr>
          <w:p w14:paraId="511B3884" w14:textId="31ADC87D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$1,407 </w:t>
            </w:r>
          </w:p>
        </w:tc>
        <w:tc>
          <w:tcPr>
            <w:tcW w:w="918" w:type="dxa"/>
            <w:vAlign w:val="bottom"/>
          </w:tcPr>
          <w:p w14:paraId="1C540509" w14:textId="72F12F9C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$2,073 </w:t>
            </w:r>
          </w:p>
        </w:tc>
        <w:tc>
          <w:tcPr>
            <w:tcW w:w="918" w:type="dxa"/>
            <w:vAlign w:val="bottom"/>
          </w:tcPr>
          <w:p w14:paraId="1996532A" w14:textId="29BC6976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$5,183 </w:t>
            </w:r>
          </w:p>
        </w:tc>
      </w:tr>
      <w:tr w:rsidR="00C10E18" w:rsidRPr="00551294" w14:paraId="7EE9A007" w14:textId="37012B0E" w:rsidTr="004931CC">
        <w:tc>
          <w:tcPr>
            <w:tcW w:w="1167" w:type="dxa"/>
          </w:tcPr>
          <w:p w14:paraId="53FFB2FB" w14:textId="77777777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$500,000</w:t>
            </w:r>
          </w:p>
        </w:tc>
        <w:tc>
          <w:tcPr>
            <w:tcW w:w="1168" w:type="dxa"/>
          </w:tcPr>
          <w:p w14:paraId="13821BC8" w14:textId="77777777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918" w:type="dxa"/>
            <w:vAlign w:val="bottom"/>
          </w:tcPr>
          <w:p w14:paraId="01707DE9" w14:textId="19C4CF6D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$1,925 </w:t>
            </w:r>
          </w:p>
        </w:tc>
        <w:tc>
          <w:tcPr>
            <w:tcW w:w="918" w:type="dxa"/>
            <w:vAlign w:val="bottom"/>
          </w:tcPr>
          <w:p w14:paraId="539AF43D" w14:textId="2E564FB5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$2,152 </w:t>
            </w:r>
          </w:p>
        </w:tc>
        <w:tc>
          <w:tcPr>
            <w:tcW w:w="918" w:type="dxa"/>
            <w:vAlign w:val="bottom"/>
          </w:tcPr>
          <w:p w14:paraId="7A98A286" w14:textId="403C94B1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$2,406 </w:t>
            </w:r>
          </w:p>
        </w:tc>
        <w:tc>
          <w:tcPr>
            <w:tcW w:w="918" w:type="dxa"/>
            <w:vAlign w:val="bottom"/>
          </w:tcPr>
          <w:p w14:paraId="4C9FD63B" w14:textId="6F211E25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$3,545 </w:t>
            </w:r>
          </w:p>
        </w:tc>
        <w:tc>
          <w:tcPr>
            <w:tcW w:w="918" w:type="dxa"/>
            <w:vAlign w:val="bottom"/>
          </w:tcPr>
          <w:p w14:paraId="42DD85C9" w14:textId="648E5518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$8,863 </w:t>
            </w:r>
          </w:p>
        </w:tc>
      </w:tr>
      <w:tr w:rsidR="00C10E18" w:rsidRPr="00551294" w14:paraId="1E6CBE0D" w14:textId="476257B8" w:rsidTr="00940A62">
        <w:tc>
          <w:tcPr>
            <w:tcW w:w="1167" w:type="dxa"/>
          </w:tcPr>
          <w:p w14:paraId="63AD3715" w14:textId="77777777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$1,000,000</w:t>
            </w:r>
          </w:p>
        </w:tc>
        <w:tc>
          <w:tcPr>
            <w:tcW w:w="1168" w:type="dxa"/>
          </w:tcPr>
          <w:p w14:paraId="07271B4A" w14:textId="77777777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918" w:type="dxa"/>
            <w:vAlign w:val="bottom"/>
          </w:tcPr>
          <w:p w14:paraId="024EA6A0" w14:textId="01FBE679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$2,931 </w:t>
            </w:r>
          </w:p>
        </w:tc>
        <w:tc>
          <w:tcPr>
            <w:tcW w:w="918" w:type="dxa"/>
            <w:vAlign w:val="bottom"/>
          </w:tcPr>
          <w:p w14:paraId="1E5AF935" w14:textId="37C556E9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$3,278 </w:t>
            </w:r>
          </w:p>
        </w:tc>
        <w:tc>
          <w:tcPr>
            <w:tcW w:w="918" w:type="dxa"/>
            <w:vAlign w:val="bottom"/>
          </w:tcPr>
          <w:p w14:paraId="231718C3" w14:textId="28A4049D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$3,664 </w:t>
            </w:r>
          </w:p>
        </w:tc>
        <w:tc>
          <w:tcPr>
            <w:tcW w:w="918" w:type="dxa"/>
            <w:vAlign w:val="bottom"/>
          </w:tcPr>
          <w:p w14:paraId="481DA54A" w14:textId="3751C810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$5,399 </w:t>
            </w:r>
          </w:p>
        </w:tc>
        <w:tc>
          <w:tcPr>
            <w:tcW w:w="918" w:type="dxa"/>
            <w:vAlign w:val="bottom"/>
          </w:tcPr>
          <w:p w14:paraId="22CC16AC" w14:textId="5774DD29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$13,498 </w:t>
            </w:r>
          </w:p>
        </w:tc>
      </w:tr>
    </w:tbl>
    <w:p w14:paraId="5BB6085D" w14:textId="594675B2" w:rsidR="00CD5355" w:rsidRDefault="00CD5355" w:rsidP="00EA444C">
      <w:pPr>
        <w:spacing w:line="240" w:lineRule="auto"/>
        <w:jc w:val="both"/>
      </w:pPr>
    </w:p>
    <w:p w14:paraId="7F0C60BF" w14:textId="65E7BD1F" w:rsidR="00A44D7A" w:rsidRDefault="00A44D7A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  <w:rPr>
          <w:b/>
          <w:bCs/>
        </w:rPr>
      </w:pPr>
      <w:r>
        <w:rPr>
          <w:b/>
          <w:bCs/>
        </w:rPr>
        <w:t>Sublimit Table</w:t>
      </w:r>
    </w:p>
    <w:tbl>
      <w:tblPr>
        <w:tblStyle w:val="TableGrid"/>
        <w:tblW w:w="8365" w:type="dxa"/>
        <w:tblInd w:w="360" w:type="dxa"/>
        <w:tblLook w:val="04A0" w:firstRow="1" w:lastRow="0" w:firstColumn="1" w:lastColumn="0" w:noHBand="0" w:noVBand="1"/>
      </w:tblPr>
      <w:tblGrid>
        <w:gridCol w:w="1225"/>
        <w:gridCol w:w="2654"/>
        <w:gridCol w:w="903"/>
        <w:gridCol w:w="903"/>
        <w:gridCol w:w="1240"/>
        <w:gridCol w:w="1440"/>
      </w:tblGrid>
      <w:tr w:rsidR="00551294" w14:paraId="41A13B20" w14:textId="44AF0679" w:rsidTr="00551294">
        <w:trPr>
          <w:trHeight w:val="534"/>
        </w:trPr>
        <w:tc>
          <w:tcPr>
            <w:tcW w:w="1225" w:type="dxa"/>
            <w:vMerge w:val="restart"/>
            <w:vAlign w:val="bottom"/>
          </w:tcPr>
          <w:p w14:paraId="0B960214" w14:textId="6B9043B6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Annual Aggregate Limits</w:t>
            </w:r>
          </w:p>
        </w:tc>
        <w:tc>
          <w:tcPr>
            <w:tcW w:w="2654" w:type="dxa"/>
            <w:vMerge w:val="restart"/>
            <w:vAlign w:val="bottom"/>
          </w:tcPr>
          <w:p w14:paraId="74E5C637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Reputational Harm</w:t>
            </w:r>
          </w:p>
          <w:p w14:paraId="2DF231CE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Cyber Extortion</w:t>
            </w:r>
          </w:p>
          <w:p w14:paraId="3F6D6F32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Misdirected Payment Fraud</w:t>
            </w:r>
          </w:p>
          <w:p w14:paraId="644FB651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Computer Fraud</w:t>
            </w:r>
          </w:p>
          <w:p w14:paraId="0065F86C" w14:textId="61122381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Telecommunications Fraud</w:t>
            </w:r>
          </w:p>
        </w:tc>
        <w:tc>
          <w:tcPr>
            <w:tcW w:w="1806" w:type="dxa"/>
            <w:gridSpan w:val="2"/>
            <w:vAlign w:val="bottom"/>
          </w:tcPr>
          <w:p w14:paraId="600C04A2" w14:textId="20E2CF90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Public Relations</w:t>
            </w:r>
          </w:p>
        </w:tc>
        <w:tc>
          <w:tcPr>
            <w:tcW w:w="1240" w:type="dxa"/>
            <w:vMerge w:val="restart"/>
            <w:vAlign w:val="bottom"/>
          </w:tcPr>
          <w:p w14:paraId="481AA7B9" w14:textId="4F4813CE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Reward Payments</w:t>
            </w:r>
          </w:p>
        </w:tc>
        <w:tc>
          <w:tcPr>
            <w:tcW w:w="1440" w:type="dxa"/>
            <w:vMerge w:val="restart"/>
            <w:vAlign w:val="bottom"/>
          </w:tcPr>
          <w:p w14:paraId="09982BBF" w14:textId="3B066A19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Future Loss Avoidance</w:t>
            </w:r>
          </w:p>
        </w:tc>
      </w:tr>
      <w:tr w:rsidR="00551294" w14:paraId="4B948700" w14:textId="3FB191DB" w:rsidTr="00551294">
        <w:trPr>
          <w:trHeight w:val="67"/>
        </w:trPr>
        <w:tc>
          <w:tcPr>
            <w:tcW w:w="1225" w:type="dxa"/>
            <w:vMerge/>
            <w:vAlign w:val="bottom"/>
          </w:tcPr>
          <w:p w14:paraId="4185D2F8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54" w:type="dxa"/>
            <w:vMerge/>
            <w:vAlign w:val="bottom"/>
          </w:tcPr>
          <w:p w14:paraId="45FB4145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571AC198" w14:textId="522CE58C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DC RE</w:t>
            </w:r>
          </w:p>
        </w:tc>
        <w:tc>
          <w:tcPr>
            <w:tcW w:w="903" w:type="dxa"/>
            <w:vAlign w:val="bottom"/>
          </w:tcPr>
          <w:p w14:paraId="5303D15A" w14:textId="002F21BB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CA</w:t>
            </w:r>
          </w:p>
        </w:tc>
        <w:tc>
          <w:tcPr>
            <w:tcW w:w="1240" w:type="dxa"/>
            <w:vMerge/>
          </w:tcPr>
          <w:p w14:paraId="54834901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14:paraId="1A3561D7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551294" w14:paraId="15F8ACCA" w14:textId="49E91F24" w:rsidTr="00551294">
        <w:tc>
          <w:tcPr>
            <w:tcW w:w="1225" w:type="dxa"/>
          </w:tcPr>
          <w:p w14:paraId="316D983C" w14:textId="1250ADB6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</w:t>
            </w:r>
            <w:r w:rsidR="00C10E18">
              <w:rPr>
                <w:sz w:val="18"/>
                <w:szCs w:val="18"/>
              </w:rPr>
              <w:t>25</w:t>
            </w:r>
            <w:r w:rsidRPr="00551294">
              <w:rPr>
                <w:sz w:val="18"/>
                <w:szCs w:val="18"/>
              </w:rPr>
              <w:t>,000</w:t>
            </w:r>
          </w:p>
        </w:tc>
        <w:tc>
          <w:tcPr>
            <w:tcW w:w="2654" w:type="dxa"/>
          </w:tcPr>
          <w:p w14:paraId="65915E2C" w14:textId="4DFD0A78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136619D4" w14:textId="26C96DA6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096E359A" w14:textId="0CC65258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640B062C" w14:textId="0D78BAF5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 w:val="restart"/>
          </w:tcPr>
          <w:p w14:paraId="0F5C8478" w14:textId="550A0614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C635C3">
              <w:rPr>
                <w:sz w:val="18"/>
                <w:szCs w:val="18"/>
              </w:rPr>
              <w:t>10% of eligible payment with respect to any one Computer Attack</w:t>
            </w:r>
          </w:p>
        </w:tc>
      </w:tr>
      <w:tr w:rsidR="00C10E18" w14:paraId="59ABB63E" w14:textId="77777777" w:rsidTr="00551294">
        <w:tc>
          <w:tcPr>
            <w:tcW w:w="1225" w:type="dxa"/>
          </w:tcPr>
          <w:p w14:paraId="1A4CD5AC" w14:textId="50E66475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$50,000</w:t>
            </w:r>
          </w:p>
        </w:tc>
        <w:tc>
          <w:tcPr>
            <w:tcW w:w="2654" w:type="dxa"/>
          </w:tcPr>
          <w:p w14:paraId="10ADEB4C" w14:textId="31A8C7CD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7B2884D8" w14:textId="3305E182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5C7D422F" w14:textId="03A9107F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4C60FEAF" w14:textId="07EA8A91" w:rsidR="00C10E18" w:rsidRPr="00551294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401751D9" w14:textId="77777777" w:rsidR="00C10E18" w:rsidRPr="00C635C3" w:rsidRDefault="00C10E18" w:rsidP="00C10E18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551294" w14:paraId="4C7811DD" w14:textId="714F0428" w:rsidTr="00551294">
        <w:tc>
          <w:tcPr>
            <w:tcW w:w="1225" w:type="dxa"/>
          </w:tcPr>
          <w:p w14:paraId="0AD1DF4C" w14:textId="623F6E1F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$100,000</w:t>
            </w:r>
          </w:p>
        </w:tc>
        <w:tc>
          <w:tcPr>
            <w:tcW w:w="2654" w:type="dxa"/>
          </w:tcPr>
          <w:p w14:paraId="5229E410" w14:textId="7F876C5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27F96012" w14:textId="5452A7D9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41B18347" w14:textId="01FE15D1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52060845" w14:textId="73148B89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7F5F66F7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551294" w14:paraId="56B36862" w14:textId="1C63DD18" w:rsidTr="00551294">
        <w:tc>
          <w:tcPr>
            <w:tcW w:w="1225" w:type="dxa"/>
          </w:tcPr>
          <w:p w14:paraId="20B390ED" w14:textId="36709519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$250,000</w:t>
            </w:r>
          </w:p>
        </w:tc>
        <w:tc>
          <w:tcPr>
            <w:tcW w:w="2654" w:type="dxa"/>
          </w:tcPr>
          <w:p w14:paraId="29C0814F" w14:textId="09544224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09817B7A" w14:textId="6DC3B4AC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4256E76B" w14:textId="07F725D2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1AF8D295" w14:textId="7639F30A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3E2593B2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551294" w14:paraId="4281FC3F" w14:textId="77B7F185" w:rsidTr="00551294">
        <w:tc>
          <w:tcPr>
            <w:tcW w:w="1225" w:type="dxa"/>
          </w:tcPr>
          <w:p w14:paraId="148DA6EA" w14:textId="1814A0E6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$500,000</w:t>
            </w:r>
          </w:p>
        </w:tc>
        <w:tc>
          <w:tcPr>
            <w:tcW w:w="2654" w:type="dxa"/>
          </w:tcPr>
          <w:p w14:paraId="2C41C0F8" w14:textId="007A0E5D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6C2624E6" w14:textId="5D41B24D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71AF2AB2" w14:textId="3C620E09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6805D324" w14:textId="282DB29B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66B96723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551294" w14:paraId="703ABAB3" w14:textId="381CC016" w:rsidTr="00551294">
        <w:tc>
          <w:tcPr>
            <w:tcW w:w="1225" w:type="dxa"/>
          </w:tcPr>
          <w:p w14:paraId="4486552A" w14:textId="6A6D4F99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$1,000,000</w:t>
            </w:r>
          </w:p>
        </w:tc>
        <w:tc>
          <w:tcPr>
            <w:tcW w:w="2654" w:type="dxa"/>
          </w:tcPr>
          <w:p w14:paraId="00EF8044" w14:textId="6585AA80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$25,000</w:t>
            </w:r>
          </w:p>
        </w:tc>
        <w:tc>
          <w:tcPr>
            <w:tcW w:w="903" w:type="dxa"/>
          </w:tcPr>
          <w:p w14:paraId="2AF689C3" w14:textId="010F220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903" w:type="dxa"/>
          </w:tcPr>
          <w:p w14:paraId="6304EA32" w14:textId="3C990723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$10,000</w:t>
            </w:r>
          </w:p>
        </w:tc>
        <w:tc>
          <w:tcPr>
            <w:tcW w:w="1240" w:type="dxa"/>
          </w:tcPr>
          <w:p w14:paraId="4E99756D" w14:textId="7C29B46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$25,000</w:t>
            </w:r>
          </w:p>
        </w:tc>
        <w:tc>
          <w:tcPr>
            <w:tcW w:w="1440" w:type="dxa"/>
            <w:vMerge/>
          </w:tcPr>
          <w:p w14:paraId="4201E4DB" w14:textId="77777777" w:rsidR="00BF13D2" w:rsidRPr="00551294" w:rsidRDefault="00BF13D2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</w:p>
        </w:tc>
      </w:tr>
    </w:tbl>
    <w:p w14:paraId="110B9957" w14:textId="77777777" w:rsidR="00A32735" w:rsidRPr="002765BE" w:rsidRDefault="00A32735" w:rsidP="00EA444C">
      <w:pPr>
        <w:spacing w:line="240" w:lineRule="auto"/>
        <w:jc w:val="both"/>
        <w:rPr>
          <w:b/>
          <w:bCs/>
        </w:rPr>
      </w:pPr>
    </w:p>
    <w:p w14:paraId="3D16B176" w14:textId="77777777" w:rsidR="000311AE" w:rsidRDefault="000311AE" w:rsidP="000311AE">
      <w:pPr>
        <w:pStyle w:val="Hanging2"/>
        <w:spacing w:before="0" w:line="240" w:lineRule="auto"/>
        <w:ind w:left="360" w:firstLine="0"/>
        <w:rPr>
          <w:b w:val="0"/>
          <w:bCs w:val="0"/>
        </w:rPr>
      </w:pPr>
      <w:r>
        <w:rPr>
          <w:rFonts w:eastAsia="Calibri" w:cs="Arial"/>
          <w:b w:val="0"/>
          <w:bCs w:val="0"/>
        </w:rPr>
        <w:t xml:space="preserve">We have split the limit applicable to any liability coverages into a defense coverage and a separate liability coverage. For example, a $100,000 Cyber Suite annual aggregate limit gets divided as illustrated below. </w:t>
      </w:r>
    </w:p>
    <w:p w14:paraId="2AA2E1C5" w14:textId="77777777" w:rsidR="000311AE" w:rsidRDefault="000311AE" w:rsidP="000311AE">
      <w:pPr>
        <w:spacing w:line="240" w:lineRule="auto"/>
        <w:ind w:hanging="720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5"/>
        <w:gridCol w:w="1980"/>
      </w:tblGrid>
      <w:tr w:rsidR="000311AE" w14:paraId="157E40C9" w14:textId="77777777" w:rsidTr="00E506DC">
        <w:trPr>
          <w:trHeight w:val="60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C1D9B" w14:textId="77777777" w:rsidR="000311AE" w:rsidRDefault="000311AE" w:rsidP="00E506DC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de-DE"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de-DE" w:eastAsia="en-US"/>
              </w:rPr>
              <w:t>Coverage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89162" w14:textId="77777777" w:rsidR="000311AE" w:rsidRDefault="000311AE" w:rsidP="00E506DC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de-DE"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de-DE" w:eastAsia="en-US"/>
              </w:rPr>
              <w:t>Limit</w:t>
            </w:r>
          </w:p>
        </w:tc>
      </w:tr>
      <w:tr w:rsidR="000311AE" w14:paraId="259A50E0" w14:textId="77777777" w:rsidTr="00E506DC">
        <w:trPr>
          <w:trHeight w:val="60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80CE1" w14:textId="77777777" w:rsidR="000311AE" w:rsidRDefault="000311AE" w:rsidP="00E506DC">
            <w:pPr>
              <w:spacing w:line="240" w:lineRule="auto"/>
              <w:rPr>
                <w:rFonts w:ascii="Arial" w:eastAsia="Calibri" w:hAnsi="Arial" w:cs="Arial"/>
                <w:sz w:val="18"/>
                <w:szCs w:val="18"/>
                <w:lang w:val="de-DE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en-US"/>
              </w:rPr>
              <w:t>Data Compromise Response Expenses</w:t>
            </w:r>
          </w:p>
          <w:p w14:paraId="2962CD82" w14:textId="77777777" w:rsidR="000311AE" w:rsidRDefault="000311AE" w:rsidP="00E506DC">
            <w:pPr>
              <w:spacing w:line="240" w:lineRule="auto"/>
              <w:rPr>
                <w:rFonts w:ascii="Arial" w:eastAsia="Calibri" w:hAnsi="Arial" w:cs="Arial"/>
                <w:sz w:val="18"/>
                <w:szCs w:val="18"/>
                <w:lang w:val="de-DE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en-US"/>
              </w:rPr>
              <w:t xml:space="preserve">Computer Attack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2CFCA" w14:textId="77777777" w:rsidR="000311AE" w:rsidRDefault="000311AE" w:rsidP="00E506DC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highlight w:val="yellow"/>
                <w:lang w:val="de-DE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en-US"/>
              </w:rPr>
              <w:t>$50,000</w:t>
            </w:r>
          </w:p>
        </w:tc>
      </w:tr>
      <w:tr w:rsidR="000311AE" w14:paraId="462EFB33" w14:textId="77777777" w:rsidTr="00E506DC">
        <w:trPr>
          <w:trHeight w:val="60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68B5" w14:textId="77777777" w:rsidR="000311AE" w:rsidRPr="00915E6C" w:rsidRDefault="000311AE" w:rsidP="00E506DC">
            <w:pPr>
              <w:spacing w:line="240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915E6C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Privacy Incident Defense</w:t>
            </w:r>
          </w:p>
          <w:p w14:paraId="7F46BE98" w14:textId="77777777" w:rsidR="000311AE" w:rsidRPr="00915E6C" w:rsidRDefault="000311AE" w:rsidP="00E506DC">
            <w:pPr>
              <w:spacing w:line="240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915E6C">
              <w:rPr>
                <w:rFonts w:ascii="Arial" w:eastAsia="Calibri" w:hAnsi="Arial" w:cs="Arial"/>
                <w:sz w:val="18"/>
                <w:szCs w:val="18"/>
                <w:lang w:eastAsia="en-US"/>
              </w:rPr>
              <w:t>Network Security Defense</w:t>
            </w:r>
          </w:p>
          <w:p w14:paraId="580ABB10" w14:textId="77777777" w:rsidR="000311AE" w:rsidRDefault="000311AE" w:rsidP="00E506DC">
            <w:pPr>
              <w:spacing w:line="240" w:lineRule="auto"/>
              <w:rPr>
                <w:rFonts w:ascii="Arial" w:eastAsia="Calibri" w:hAnsi="Arial" w:cs="Arial"/>
                <w:sz w:val="18"/>
                <w:szCs w:val="18"/>
                <w:lang w:val="de-DE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en-US"/>
              </w:rPr>
              <w:t>Electronic Media Defense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739BE" w14:textId="77777777" w:rsidR="000311AE" w:rsidRDefault="000311AE" w:rsidP="00E506DC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  <w:highlight w:val="yellow"/>
                <w:lang w:val="de-DE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en-US"/>
              </w:rPr>
              <w:t>$25,000</w:t>
            </w:r>
          </w:p>
        </w:tc>
      </w:tr>
      <w:tr w:rsidR="000311AE" w14:paraId="0A605D6B" w14:textId="77777777" w:rsidTr="00E506DC">
        <w:trPr>
          <w:trHeight w:val="60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7B0D1" w14:textId="77777777" w:rsidR="000311AE" w:rsidRPr="00915E6C" w:rsidRDefault="000311AE" w:rsidP="00E506DC">
            <w:pPr>
              <w:spacing w:line="240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915E6C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Privacy Incident Liability</w:t>
            </w:r>
          </w:p>
          <w:p w14:paraId="0BF6FAE0" w14:textId="77777777" w:rsidR="000311AE" w:rsidRPr="00915E6C" w:rsidRDefault="000311AE" w:rsidP="00E506DC">
            <w:pPr>
              <w:spacing w:line="240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915E6C">
              <w:rPr>
                <w:rFonts w:ascii="Arial" w:eastAsia="Calibri" w:hAnsi="Arial" w:cs="Arial"/>
                <w:sz w:val="18"/>
                <w:szCs w:val="18"/>
                <w:lang w:eastAsia="en-US"/>
              </w:rPr>
              <w:t>Network Security Liability</w:t>
            </w:r>
          </w:p>
          <w:p w14:paraId="1D0318A7" w14:textId="77777777" w:rsidR="000311AE" w:rsidRDefault="000311AE" w:rsidP="00E506DC">
            <w:pPr>
              <w:spacing w:line="240" w:lineRule="auto"/>
              <w:rPr>
                <w:rFonts w:ascii="Arial" w:eastAsia="Calibri" w:hAnsi="Arial" w:cs="Arial"/>
                <w:sz w:val="18"/>
                <w:szCs w:val="18"/>
                <w:lang w:val="de-DE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en-US"/>
              </w:rPr>
              <w:t>Electronic Media Liability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577C4" w14:textId="77777777" w:rsidR="000311AE" w:rsidRDefault="000311AE" w:rsidP="00E506DC">
            <w:pPr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  <w:highlight w:val="yellow"/>
                <w:lang w:val="de-DE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en-US"/>
              </w:rPr>
              <w:t>$25,000</w:t>
            </w:r>
          </w:p>
        </w:tc>
      </w:tr>
    </w:tbl>
    <w:p w14:paraId="388ABA37" w14:textId="77777777" w:rsidR="000311AE" w:rsidRDefault="000311AE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  <w:rPr>
          <w:b/>
          <w:bCs/>
        </w:rPr>
      </w:pPr>
    </w:p>
    <w:p w14:paraId="7F1E0481" w14:textId="136CD832" w:rsidR="00A44D7A" w:rsidRDefault="00551294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  <w:rPr>
          <w:b/>
          <w:bCs/>
        </w:rPr>
      </w:pPr>
      <w:r>
        <w:rPr>
          <w:b/>
          <w:bCs/>
        </w:rPr>
        <w:t>Identity Recovery Sublimit Table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2"/>
      </w:tblGrid>
      <w:tr w:rsidR="00551294" w14:paraId="39B4B8DE" w14:textId="77777777" w:rsidTr="00551294">
        <w:tc>
          <w:tcPr>
            <w:tcW w:w="2091" w:type="dxa"/>
          </w:tcPr>
          <w:p w14:paraId="2C6261E9" w14:textId="1F0F3EE3" w:rsidR="00551294" w:rsidRPr="00551294" w:rsidRDefault="0055129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Annual Aggregate Limit</w:t>
            </w:r>
          </w:p>
        </w:tc>
        <w:tc>
          <w:tcPr>
            <w:tcW w:w="2091" w:type="dxa"/>
          </w:tcPr>
          <w:p w14:paraId="5552F7D1" w14:textId="25DCA66B" w:rsidR="00551294" w:rsidRPr="00551294" w:rsidRDefault="0055129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Lost Wages and Child or Elder Care</w:t>
            </w:r>
          </w:p>
        </w:tc>
        <w:tc>
          <w:tcPr>
            <w:tcW w:w="2091" w:type="dxa"/>
          </w:tcPr>
          <w:p w14:paraId="6AF9F466" w14:textId="0CB51728" w:rsidR="00551294" w:rsidRPr="00551294" w:rsidRDefault="0055129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Mental Health Counseling</w:t>
            </w:r>
          </w:p>
        </w:tc>
        <w:tc>
          <w:tcPr>
            <w:tcW w:w="2092" w:type="dxa"/>
          </w:tcPr>
          <w:p w14:paraId="1221E757" w14:textId="62CB98F0" w:rsidR="00551294" w:rsidRPr="00551294" w:rsidRDefault="0055129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551294">
              <w:rPr>
                <w:b/>
                <w:bCs/>
                <w:sz w:val="18"/>
                <w:szCs w:val="18"/>
              </w:rPr>
              <w:t>Miscellaneous Expense</w:t>
            </w:r>
          </w:p>
        </w:tc>
      </w:tr>
      <w:tr w:rsidR="00551294" w14:paraId="61CB877D" w14:textId="77777777" w:rsidTr="00551294">
        <w:tc>
          <w:tcPr>
            <w:tcW w:w="2091" w:type="dxa"/>
          </w:tcPr>
          <w:p w14:paraId="6524E254" w14:textId="77A28F4A" w:rsidR="00551294" w:rsidRPr="00551294" w:rsidRDefault="0055129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$25,000</w:t>
            </w:r>
          </w:p>
        </w:tc>
        <w:tc>
          <w:tcPr>
            <w:tcW w:w="2091" w:type="dxa"/>
          </w:tcPr>
          <w:p w14:paraId="530BADDF" w14:textId="1F2C19CD" w:rsidR="00551294" w:rsidRPr="00551294" w:rsidRDefault="0055129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$5,000</w:t>
            </w:r>
          </w:p>
        </w:tc>
        <w:tc>
          <w:tcPr>
            <w:tcW w:w="2091" w:type="dxa"/>
          </w:tcPr>
          <w:p w14:paraId="021A196F" w14:textId="0C976DF0" w:rsidR="00551294" w:rsidRPr="00551294" w:rsidRDefault="0055129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$1,000</w:t>
            </w:r>
          </w:p>
        </w:tc>
        <w:tc>
          <w:tcPr>
            <w:tcW w:w="2092" w:type="dxa"/>
          </w:tcPr>
          <w:p w14:paraId="3E4E6D7F" w14:textId="489DB6B6" w:rsidR="00551294" w:rsidRPr="00551294" w:rsidRDefault="00551294" w:rsidP="00EA444C">
            <w:pPr>
              <w:pStyle w:val="ListParagraph"/>
              <w:numPr>
                <w:ilvl w:val="0"/>
                <w:numId w:val="0"/>
              </w:numPr>
              <w:spacing w:after="0"/>
              <w:jc w:val="center"/>
              <w:rPr>
                <w:sz w:val="18"/>
                <w:szCs w:val="18"/>
              </w:rPr>
            </w:pPr>
            <w:r w:rsidRPr="00551294">
              <w:rPr>
                <w:sz w:val="18"/>
                <w:szCs w:val="18"/>
              </w:rPr>
              <w:t>$1,000</w:t>
            </w:r>
          </w:p>
        </w:tc>
      </w:tr>
    </w:tbl>
    <w:p w14:paraId="29FD6C12" w14:textId="1CE90E19" w:rsidR="00551294" w:rsidRDefault="00551294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  <w:rPr>
          <w:b/>
          <w:bCs/>
        </w:rPr>
      </w:pPr>
    </w:p>
    <w:p w14:paraId="33CE838A" w14:textId="7313B7B0" w:rsidR="00551294" w:rsidRDefault="00551294" w:rsidP="00EA44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>
        <w:rPr>
          <w:b/>
          <w:bCs/>
        </w:rPr>
        <w:t>Minimum Premiums</w:t>
      </w:r>
    </w:p>
    <w:p w14:paraId="43035F5D" w14:textId="6C9B9849" w:rsidR="008C65F4" w:rsidRDefault="00551294" w:rsidP="00C10E18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>
        <w:t>This coverage is not subject to a minimum premium.</w:t>
      </w:r>
    </w:p>
    <w:p w14:paraId="6C80A9CF" w14:textId="77777777" w:rsidR="00551294" w:rsidRDefault="00551294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6AFCB698" w14:textId="5855AF19" w:rsidR="00551294" w:rsidRPr="00A30433" w:rsidRDefault="00551294" w:rsidP="00EA44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 w:rsidRPr="00A30433">
        <w:rPr>
          <w:b/>
          <w:bCs/>
        </w:rPr>
        <w:t>Midterm Additions/Increases</w:t>
      </w:r>
    </w:p>
    <w:p w14:paraId="6A2B4758" w14:textId="150CAB83" w:rsidR="00551294" w:rsidRDefault="00551294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>
        <w:t xml:space="preserve">This coverage may be added at the anniversary of the </w:t>
      </w:r>
      <w:proofErr w:type="gramStart"/>
      <w:r>
        <w:t>policy</w:t>
      </w:r>
      <w:r w:rsidR="00423A58">
        <w:t>,</w:t>
      </w:r>
      <w:r>
        <w:t xml:space="preserve"> or</w:t>
      </w:r>
      <w:proofErr w:type="gramEnd"/>
      <w:r>
        <w:t xml:space="preserve"> may be added in-term</w:t>
      </w:r>
      <w:r w:rsidR="00423A58">
        <w:t xml:space="preserve"> </w:t>
      </w:r>
      <w:r w:rsidR="00423A58" w:rsidRPr="00A32735">
        <w:t>at the insured’s request</w:t>
      </w:r>
      <w:r w:rsidRPr="00A32735">
        <w:t xml:space="preserve">. </w:t>
      </w:r>
      <w:r>
        <w:t xml:space="preserve">The rate </w:t>
      </w:r>
      <w:r w:rsidRPr="00A32735">
        <w:t xml:space="preserve">will be </w:t>
      </w:r>
      <w:r>
        <w:t xml:space="preserve">prorated </w:t>
      </w:r>
      <w:r w:rsidR="00A30433">
        <w:t>for in-term transactions or odd-term policies. Increased limits are available upon coverage inception or subsequent anniversary.</w:t>
      </w:r>
    </w:p>
    <w:p w14:paraId="6FA254DC" w14:textId="419E68A5" w:rsidR="00A30433" w:rsidRDefault="00A30433" w:rsidP="00EA444C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</w:p>
    <w:p w14:paraId="75214AFE" w14:textId="616916DB" w:rsidR="00A30433" w:rsidRDefault="00A30433" w:rsidP="00EA44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 w:rsidRPr="00A30433">
        <w:rPr>
          <w:b/>
          <w:bCs/>
        </w:rPr>
        <w:t>Supplemental Extended Reporting Period</w:t>
      </w:r>
    </w:p>
    <w:p w14:paraId="7E8698E1" w14:textId="4C0EE254" w:rsidR="00A30433" w:rsidRPr="00A30433" w:rsidRDefault="00D50523" w:rsidP="00D50523">
      <w:pPr>
        <w:pStyle w:val="ListParagraph"/>
        <w:numPr>
          <w:ilvl w:val="0"/>
          <w:numId w:val="0"/>
        </w:numPr>
        <w:spacing w:after="0" w:line="240" w:lineRule="auto"/>
        <w:ind w:left="360"/>
        <w:jc w:val="both"/>
      </w:pPr>
      <w:r w:rsidRPr="00D50523">
        <w:t>A Supplemental Extended Reporting Period of three years immediately following the date of termination of coverage may be purchased for an additional premium of 175% of the full annual third party premium applicable to this coverage.</w:t>
      </w:r>
    </w:p>
    <w:sectPr w:rsidR="00A30433" w:rsidRPr="00A30433" w:rsidSect="007F523C">
      <w:headerReference w:type="default" r:id="rId12"/>
      <w:footerReference w:type="default" r:id="rId13"/>
      <w:pgSz w:w="12242" w:h="15842" w:code="1"/>
      <w:pgMar w:top="720" w:right="1440" w:bottom="720" w:left="1440" w:header="57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6A70D" w14:textId="77777777" w:rsidR="009E1DAA" w:rsidRDefault="009E1DAA" w:rsidP="00911E4C">
      <w:pPr>
        <w:spacing w:line="240" w:lineRule="auto"/>
      </w:pPr>
      <w:r>
        <w:separator/>
      </w:r>
    </w:p>
  </w:endnote>
  <w:endnote w:type="continuationSeparator" w:id="0">
    <w:p w14:paraId="67C12595" w14:textId="77777777" w:rsidR="009E1DAA" w:rsidRDefault="009E1DAA" w:rsidP="00911E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49090C2" w14:textId="7242178B" w:rsidR="0056594D" w:rsidRDefault="0056594D" w:rsidP="0056594D">
        <w:pPr>
          <w:pStyle w:val="Footer"/>
          <w:ind w:left="720"/>
          <w:rPr>
            <w:rFonts w:ascii="Arial" w:hAnsi="Arial" w:cs="Arial"/>
            <w:sz w:val="20"/>
            <w:szCs w:val="20"/>
          </w:rPr>
        </w:pPr>
        <w:r w:rsidRPr="00F05899">
          <w:rPr>
            <w:rFonts w:ascii="Arial" w:hAnsi="Arial" w:cs="Arial"/>
            <w:sz w:val="18"/>
            <w:szCs w:val="18"/>
            <w:lang w:val="de-DE"/>
          </w:rPr>
          <w:t xml:space="preserve">DIV 66 </w:t>
        </w:r>
        <w:r w:rsidRPr="00F05899">
          <w:rPr>
            <w:rFonts w:ascii="Arial" w:hAnsi="Arial" w:cs="Arial"/>
            <w:sz w:val="18"/>
            <w:szCs w:val="18"/>
          </w:rPr>
          <w:t xml:space="preserve">–  </w:t>
        </w:r>
        <w:r w:rsidRPr="00F05899">
          <w:rPr>
            <w:rFonts w:ascii="Arial" w:hAnsi="Arial" w:cs="Arial"/>
            <w:sz w:val="18"/>
            <w:szCs w:val="18"/>
            <w:lang w:val="de-DE"/>
          </w:rPr>
          <w:t>(01/26) </w:t>
        </w:r>
        <w:r w:rsidRPr="00F05899">
          <w:rPr>
            <w:rFonts w:ascii="Arial" w:hAnsi="Arial" w:cs="Arial"/>
            <w:sz w:val="18"/>
            <w:szCs w:val="18"/>
            <w:lang w:val="de-DE"/>
          </w:rPr>
          <w:tab/>
          <w:t xml:space="preserve">                   CYBER-</w:t>
        </w:r>
        <w:r>
          <w:rPr>
            <w:rFonts w:ascii="Arial" w:hAnsi="Arial" w:cs="Arial"/>
            <w:sz w:val="18"/>
            <w:szCs w:val="18"/>
            <w:lang w:val="de-DE"/>
          </w:rPr>
          <w:t>SD</w:t>
        </w:r>
        <w:r w:rsidRPr="00F05899">
          <w:rPr>
            <w:rFonts w:ascii="Arial" w:hAnsi="Arial" w:cs="Arial"/>
            <w:sz w:val="18"/>
            <w:szCs w:val="18"/>
            <w:lang w:val="de-DE"/>
          </w:rPr>
          <w:t>-RU</w:t>
        </w:r>
        <w:r w:rsidRPr="00F05899">
          <w:rPr>
            <w:rFonts w:ascii="Arial" w:hAnsi="Arial" w:cs="Arial"/>
            <w:sz w:val="18"/>
            <w:szCs w:val="18"/>
            <w:lang w:val="de-DE"/>
          </w:rPr>
          <w:tab/>
          <w:t xml:space="preserve">         </w:t>
        </w:r>
        <w:r w:rsidRPr="00F05899">
          <w:rPr>
            <w:rFonts w:ascii="Arial" w:hAnsi="Arial" w:cs="Arial"/>
            <w:sz w:val="18"/>
            <w:szCs w:val="18"/>
          </w:rPr>
          <w:fldChar w:fldCharType="begin"/>
        </w:r>
        <w:r w:rsidRPr="00F05899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F05899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1</w:t>
        </w:r>
        <w:r w:rsidRPr="00F05899">
          <w:rPr>
            <w:rFonts w:ascii="Arial" w:hAnsi="Arial" w:cs="Arial"/>
            <w:noProof/>
            <w:sz w:val="18"/>
            <w:szCs w:val="18"/>
          </w:rPr>
          <w:fldChar w:fldCharType="end"/>
        </w:r>
        <w:r w:rsidRPr="00F05899">
          <w:rPr>
            <w:rFonts w:ascii="Arial" w:hAnsi="Arial" w:cs="Arial"/>
            <w:noProof/>
            <w:sz w:val="18"/>
            <w:szCs w:val="18"/>
          </w:rPr>
          <w:t xml:space="preserve"> of 3</w:t>
        </w:r>
      </w:p>
    </w:sdtContent>
  </w:sdt>
  <w:p w14:paraId="4431A267" w14:textId="77777777" w:rsidR="0056594D" w:rsidRDefault="0056594D" w:rsidP="00A30433">
    <w:pPr>
      <w:pStyle w:val="Footer"/>
      <w:jc w:val="center"/>
      <w:rPr>
        <w:sz w:val="18"/>
        <w:szCs w:val="18"/>
      </w:rPr>
    </w:pPr>
  </w:p>
  <w:p w14:paraId="274A079F" w14:textId="3B1232BF" w:rsidR="00A30433" w:rsidRPr="0041347A" w:rsidRDefault="00A30433" w:rsidP="00A30433">
    <w:pPr>
      <w:pStyle w:val="Footer"/>
      <w:jc w:val="center"/>
      <w:rPr>
        <w:sz w:val="18"/>
        <w:szCs w:val="18"/>
      </w:rPr>
    </w:pPr>
    <w:r w:rsidRPr="0041347A">
      <w:rPr>
        <w:sz w:val="18"/>
        <w:szCs w:val="18"/>
      </w:rPr>
      <w:t>© 202</w:t>
    </w:r>
    <w:r w:rsidR="00EE5DD2" w:rsidRPr="0041347A">
      <w:rPr>
        <w:sz w:val="18"/>
        <w:szCs w:val="18"/>
      </w:rPr>
      <w:t>3</w:t>
    </w:r>
    <w:r w:rsidRPr="0041347A">
      <w:rPr>
        <w:sz w:val="18"/>
        <w:szCs w:val="18"/>
      </w:rPr>
      <w:t>, The Hartford Steam Boiler Inspection and Insurance Company.  All rights reserved.</w:t>
    </w:r>
  </w:p>
  <w:p w14:paraId="5E13262B" w14:textId="77777777" w:rsidR="00A30433" w:rsidRPr="0041347A" w:rsidRDefault="00A30433" w:rsidP="00A30433">
    <w:pPr>
      <w:pStyle w:val="Footer"/>
      <w:jc w:val="center"/>
      <w:rPr>
        <w:sz w:val="18"/>
        <w:szCs w:val="18"/>
      </w:rPr>
    </w:pPr>
  </w:p>
  <w:p w14:paraId="5FF8FB01" w14:textId="77777777" w:rsidR="00A30433" w:rsidRPr="00A30433" w:rsidRDefault="00A30433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9CFC0" w14:textId="77777777" w:rsidR="009E1DAA" w:rsidRDefault="009E1DAA" w:rsidP="00911E4C">
      <w:pPr>
        <w:spacing w:line="240" w:lineRule="auto"/>
      </w:pPr>
      <w:r>
        <w:separator/>
      </w:r>
    </w:p>
  </w:footnote>
  <w:footnote w:type="continuationSeparator" w:id="0">
    <w:p w14:paraId="433B2027" w14:textId="77777777" w:rsidR="009E1DAA" w:rsidRDefault="009E1DAA" w:rsidP="00911E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C5E8" w14:textId="77777777" w:rsidR="009E1DAA" w:rsidRPr="005003AF" w:rsidRDefault="009E1DAA" w:rsidP="00D6652C">
    <w:pPr>
      <w:pStyle w:val="Header"/>
      <w:spacing w:line="240" w:lineRule="auto"/>
      <w:jc w:val="center"/>
      <w:rPr>
        <w:b/>
        <w:sz w:val="24"/>
        <w:szCs w:val="24"/>
      </w:rPr>
    </w:pPr>
    <w:r w:rsidRPr="005003AF">
      <w:rPr>
        <w:b/>
        <w:sz w:val="24"/>
        <w:szCs w:val="24"/>
      </w:rPr>
      <w:t>Cyber Suite Coverage</w:t>
    </w:r>
  </w:p>
  <w:p w14:paraId="78164EA9" w14:textId="77777777" w:rsidR="009E1DAA" w:rsidRDefault="009E1DAA" w:rsidP="00D6652C">
    <w:pPr>
      <w:pStyle w:val="Header"/>
      <w:spacing w:line="240" w:lineRule="auto"/>
      <w:jc w:val="center"/>
      <w:rPr>
        <w:b/>
        <w:sz w:val="24"/>
        <w:szCs w:val="24"/>
      </w:rPr>
    </w:pPr>
    <w:r w:rsidRPr="005003AF">
      <w:rPr>
        <w:b/>
        <w:sz w:val="24"/>
        <w:szCs w:val="24"/>
      </w:rPr>
      <w:t>Rate and Rule Manual</w:t>
    </w:r>
  </w:p>
  <w:p w14:paraId="58D1F3B5" w14:textId="32064A6D" w:rsidR="0056594D" w:rsidRDefault="0056594D" w:rsidP="00D6652C">
    <w:pPr>
      <w:pStyle w:val="Header"/>
      <w:spacing w:line="24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South Dakota</w:t>
    </w:r>
  </w:p>
  <w:p w14:paraId="0AD4B37E" w14:textId="77777777" w:rsidR="009E1DAA" w:rsidRPr="009E1DAA" w:rsidRDefault="009E1DAA" w:rsidP="009E1DAA">
    <w:pPr>
      <w:pStyle w:val="Header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31DCC"/>
    <w:multiLevelType w:val="hybridMultilevel"/>
    <w:tmpl w:val="BAA003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900DE7"/>
    <w:multiLevelType w:val="multilevel"/>
    <w:tmpl w:val="BC14F526"/>
    <w:lvl w:ilvl="0">
      <w:start w:val="1"/>
      <w:numFmt w:val="none"/>
      <w:pStyle w:val="ListContinue"/>
      <w:lvlText w:val=""/>
      <w:lvlJc w:val="left"/>
      <w:pPr>
        <w:tabs>
          <w:tab w:val="num" w:pos="312"/>
        </w:tabs>
        <w:ind w:left="312" w:firstLine="0"/>
      </w:pPr>
      <w:rPr>
        <w:rFonts w:hint="default"/>
      </w:rPr>
    </w:lvl>
    <w:lvl w:ilvl="1">
      <w:start w:val="1"/>
      <w:numFmt w:val="none"/>
      <w:pStyle w:val="ListContinue2"/>
      <w:lvlText w:val=""/>
      <w:lvlJc w:val="left"/>
      <w:pPr>
        <w:tabs>
          <w:tab w:val="num" w:pos="624"/>
        </w:tabs>
        <w:ind w:left="624" w:firstLine="0"/>
      </w:pPr>
      <w:rPr>
        <w:rFonts w:hint="default"/>
      </w:rPr>
    </w:lvl>
    <w:lvl w:ilvl="2">
      <w:start w:val="1"/>
      <w:numFmt w:val="none"/>
      <w:pStyle w:val="ListContinue3"/>
      <w:lvlText w:val=""/>
      <w:lvlJc w:val="left"/>
      <w:pPr>
        <w:tabs>
          <w:tab w:val="num" w:pos="936"/>
        </w:tabs>
        <w:ind w:left="936" w:firstLine="0"/>
      </w:pPr>
      <w:rPr>
        <w:rFonts w:hint="default"/>
      </w:rPr>
    </w:lvl>
    <w:lvl w:ilvl="3">
      <w:start w:val="1"/>
      <w:numFmt w:val="none"/>
      <w:pStyle w:val="ListContinue4"/>
      <w:lvlText w:val=""/>
      <w:lvlJc w:val="left"/>
      <w:pPr>
        <w:tabs>
          <w:tab w:val="num" w:pos="1247"/>
        </w:tabs>
        <w:ind w:left="1248" w:firstLine="0"/>
      </w:pPr>
      <w:rPr>
        <w:rFonts w:hint="default"/>
      </w:rPr>
    </w:lvl>
    <w:lvl w:ilvl="4">
      <w:start w:val="1"/>
      <w:numFmt w:val="none"/>
      <w:pStyle w:val="ListContinue5"/>
      <w:lvlText w:val=""/>
      <w:lvlJc w:val="left"/>
      <w:pPr>
        <w:tabs>
          <w:tab w:val="num" w:pos="1559"/>
        </w:tabs>
        <w:ind w:left="156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871"/>
        </w:tabs>
        <w:ind w:left="187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183"/>
        </w:tabs>
        <w:ind w:left="218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495"/>
        </w:tabs>
        <w:ind w:left="249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07"/>
        </w:tabs>
        <w:ind w:left="2808" w:firstLine="0"/>
      </w:pPr>
      <w:rPr>
        <w:rFonts w:hint="default"/>
      </w:rPr>
    </w:lvl>
  </w:abstractNum>
  <w:abstractNum w:abstractNumId="2" w15:restartNumberingAfterBreak="0">
    <w:nsid w:val="2F06483D"/>
    <w:multiLevelType w:val="multilevel"/>
    <w:tmpl w:val="2F182876"/>
    <w:lvl w:ilvl="0">
      <w:start w:val="1"/>
      <w:numFmt w:val="bullet"/>
      <w:pStyle w:val="ListBullet"/>
      <w:lvlText w:val=""/>
      <w:lvlJc w:val="left"/>
      <w:pPr>
        <w:ind w:left="312" w:hanging="312"/>
      </w:pPr>
      <w:rPr>
        <w:rFonts w:ascii="Wingdings" w:hAnsi="Wingdings" w:cs="Times New Roman" w:hint="default"/>
      </w:rPr>
    </w:lvl>
    <w:lvl w:ilvl="1">
      <w:start w:val="1"/>
      <w:numFmt w:val="bullet"/>
      <w:pStyle w:val="ListBullet2"/>
      <w:lvlText w:val=""/>
      <w:lvlJc w:val="left"/>
      <w:pPr>
        <w:ind w:left="624" w:hanging="312"/>
      </w:pPr>
      <w:rPr>
        <w:rFonts w:ascii="Wingdings" w:hAnsi="Wingdings" w:cs="Times New Roman" w:hint="default"/>
      </w:rPr>
    </w:lvl>
    <w:lvl w:ilvl="2">
      <w:start w:val="1"/>
      <w:numFmt w:val="bullet"/>
      <w:pStyle w:val="ListBullet3"/>
      <w:lvlText w:val=""/>
      <w:lvlJc w:val="left"/>
      <w:pPr>
        <w:ind w:left="936" w:hanging="312"/>
      </w:pPr>
      <w:rPr>
        <w:rFonts w:ascii="Wingdings" w:hAnsi="Wingdings" w:cs="Times New Roman" w:hint="default"/>
      </w:rPr>
    </w:lvl>
    <w:lvl w:ilvl="3">
      <w:start w:val="1"/>
      <w:numFmt w:val="bullet"/>
      <w:pStyle w:val="ListBullet4"/>
      <w:lvlText w:val=""/>
      <w:lvlJc w:val="left"/>
      <w:pPr>
        <w:ind w:left="1248" w:hanging="312"/>
      </w:pPr>
      <w:rPr>
        <w:rFonts w:ascii="Wingdings" w:hAnsi="Wingdings" w:cs="Times New Roman" w:hint="default"/>
      </w:rPr>
    </w:lvl>
    <w:lvl w:ilvl="4">
      <w:start w:val="1"/>
      <w:numFmt w:val="bullet"/>
      <w:pStyle w:val="ListBullet5"/>
      <w:lvlText w:val=""/>
      <w:lvlJc w:val="left"/>
      <w:pPr>
        <w:ind w:left="1560" w:hanging="312"/>
      </w:pPr>
      <w:rPr>
        <w:rFonts w:ascii="Wingdings" w:hAnsi="Wingdings" w:cs="Times New Roman" w:hint="default"/>
      </w:rPr>
    </w:lvl>
    <w:lvl w:ilvl="5">
      <w:start w:val="1"/>
      <w:numFmt w:val="bullet"/>
      <w:lvlText w:val=""/>
      <w:lvlJc w:val="left"/>
      <w:pPr>
        <w:ind w:left="1872" w:hanging="312"/>
      </w:pPr>
      <w:rPr>
        <w:rFonts w:ascii="Wingdings" w:hAnsi="Wingdings" w:cs="Times New Roman" w:hint="default"/>
      </w:rPr>
    </w:lvl>
    <w:lvl w:ilvl="6">
      <w:start w:val="1"/>
      <w:numFmt w:val="bullet"/>
      <w:lvlText w:val=""/>
      <w:lvlJc w:val="left"/>
      <w:pPr>
        <w:ind w:left="2184" w:hanging="312"/>
      </w:pPr>
      <w:rPr>
        <w:rFonts w:ascii="Wingdings" w:hAnsi="Wingdings" w:cs="Times New Roman" w:hint="default"/>
      </w:rPr>
    </w:lvl>
    <w:lvl w:ilvl="7">
      <w:start w:val="1"/>
      <w:numFmt w:val="bullet"/>
      <w:lvlText w:val=""/>
      <w:lvlJc w:val="left"/>
      <w:pPr>
        <w:ind w:left="2496" w:hanging="312"/>
      </w:pPr>
      <w:rPr>
        <w:rFonts w:ascii="Wingdings" w:hAnsi="Wingdings" w:cs="Times New Roman" w:hint="default"/>
      </w:rPr>
    </w:lvl>
    <w:lvl w:ilvl="8">
      <w:start w:val="1"/>
      <w:numFmt w:val="bullet"/>
      <w:lvlText w:val=""/>
      <w:lvlJc w:val="left"/>
      <w:pPr>
        <w:ind w:left="2808" w:hanging="312"/>
      </w:pPr>
      <w:rPr>
        <w:rFonts w:ascii="Wingdings" w:hAnsi="Wingdings" w:cs="Times New Roman" w:hint="default"/>
      </w:rPr>
    </w:lvl>
  </w:abstractNum>
  <w:abstractNum w:abstractNumId="3" w15:restartNumberingAfterBreak="0">
    <w:nsid w:val="37130CE6"/>
    <w:multiLevelType w:val="hybridMultilevel"/>
    <w:tmpl w:val="4536A2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6E3393"/>
    <w:multiLevelType w:val="hybridMultilevel"/>
    <w:tmpl w:val="B51C85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9B20630"/>
    <w:multiLevelType w:val="multilevel"/>
    <w:tmpl w:val="935A6C54"/>
    <w:lvl w:ilvl="0">
      <w:start w:val="1"/>
      <w:numFmt w:val="bullet"/>
      <w:pStyle w:val="List"/>
      <w:lvlText w:val=""/>
      <w:lvlJc w:val="left"/>
      <w:pPr>
        <w:ind w:left="312" w:hanging="312"/>
      </w:pPr>
      <w:rPr>
        <w:rFonts w:ascii="Wingdings" w:hAnsi="Wingdings" w:cs="Times New Roman" w:hint="default"/>
      </w:rPr>
    </w:lvl>
    <w:lvl w:ilvl="1">
      <w:start w:val="1"/>
      <w:numFmt w:val="bullet"/>
      <w:pStyle w:val="List2"/>
      <w:lvlText w:val=""/>
      <w:lvlJc w:val="left"/>
      <w:pPr>
        <w:ind w:left="624" w:hanging="312"/>
      </w:pPr>
      <w:rPr>
        <w:rFonts w:ascii="Wingdings" w:hAnsi="Wingdings" w:cs="Courier New" w:hint="default"/>
      </w:rPr>
    </w:lvl>
    <w:lvl w:ilvl="2">
      <w:start w:val="1"/>
      <w:numFmt w:val="bullet"/>
      <w:pStyle w:val="List3"/>
      <w:lvlText w:val=""/>
      <w:lvlJc w:val="left"/>
      <w:pPr>
        <w:ind w:left="936" w:hanging="312"/>
      </w:pPr>
      <w:rPr>
        <w:rFonts w:ascii="Wingdings" w:hAnsi="Wingdings" w:cs="Times New Roman" w:hint="default"/>
      </w:rPr>
    </w:lvl>
    <w:lvl w:ilvl="3">
      <w:start w:val="1"/>
      <w:numFmt w:val="bullet"/>
      <w:pStyle w:val="List4"/>
      <w:lvlText w:val=""/>
      <w:lvlJc w:val="left"/>
      <w:pPr>
        <w:ind w:left="1247" w:hanging="311"/>
      </w:pPr>
      <w:rPr>
        <w:rFonts w:ascii="Wingdings" w:hAnsi="Wingdings" w:cs="Times New Roman" w:hint="default"/>
      </w:rPr>
    </w:lvl>
    <w:lvl w:ilvl="4">
      <w:start w:val="1"/>
      <w:numFmt w:val="bullet"/>
      <w:pStyle w:val="List5"/>
      <w:lvlText w:val=""/>
      <w:lvlJc w:val="left"/>
      <w:pPr>
        <w:ind w:left="1559" w:hanging="312"/>
      </w:pPr>
      <w:rPr>
        <w:rFonts w:ascii="Wingdings" w:hAnsi="Wingdings" w:cs="Courier New" w:hint="default"/>
      </w:rPr>
    </w:lvl>
    <w:lvl w:ilvl="5">
      <w:start w:val="1"/>
      <w:numFmt w:val="bullet"/>
      <w:lvlText w:val=""/>
      <w:lvlJc w:val="left"/>
      <w:pPr>
        <w:ind w:left="1871" w:hanging="312"/>
      </w:pPr>
      <w:rPr>
        <w:rFonts w:ascii="Wingdings" w:hAnsi="Wingdings" w:cs="Times New Roman" w:hint="default"/>
      </w:rPr>
    </w:lvl>
    <w:lvl w:ilvl="6">
      <w:start w:val="1"/>
      <w:numFmt w:val="bullet"/>
      <w:lvlText w:val=""/>
      <w:lvlJc w:val="left"/>
      <w:pPr>
        <w:ind w:left="2183" w:hanging="312"/>
      </w:pPr>
      <w:rPr>
        <w:rFonts w:ascii="Wingdings" w:hAnsi="Wingdings" w:cs="Times New Roman" w:hint="default"/>
      </w:rPr>
    </w:lvl>
    <w:lvl w:ilvl="7">
      <w:start w:val="1"/>
      <w:numFmt w:val="bullet"/>
      <w:lvlText w:val=""/>
      <w:lvlJc w:val="left"/>
      <w:pPr>
        <w:ind w:left="2495" w:hanging="312"/>
      </w:pPr>
      <w:rPr>
        <w:rFonts w:ascii="Wingdings" w:hAnsi="Wingdings" w:cs="Courier New" w:hint="default"/>
      </w:rPr>
    </w:lvl>
    <w:lvl w:ilvl="8">
      <w:start w:val="1"/>
      <w:numFmt w:val="bullet"/>
      <w:lvlText w:val=""/>
      <w:lvlJc w:val="left"/>
      <w:pPr>
        <w:ind w:left="2807" w:hanging="312"/>
      </w:pPr>
      <w:rPr>
        <w:rFonts w:ascii="Wingdings" w:hAnsi="Wingdings" w:cs="Times New Roman" w:hint="default"/>
      </w:rPr>
    </w:lvl>
  </w:abstractNum>
  <w:abstractNum w:abstractNumId="6" w15:restartNumberingAfterBreak="0">
    <w:nsid w:val="5B3B1CEC"/>
    <w:multiLevelType w:val="hybridMultilevel"/>
    <w:tmpl w:val="A5A09ADC"/>
    <w:lvl w:ilvl="0" w:tplc="3F342EE0">
      <w:start w:val="1"/>
      <w:numFmt w:val="bullet"/>
      <w:pStyle w:val="ListParagraph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"/>
      <w:lvlJc w:val="left"/>
      <w:pPr>
        <w:ind w:left="624" w:hanging="312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936" w:hanging="312"/>
      </w:pPr>
      <w:rPr>
        <w:rFonts w:ascii="Wingdings" w:hAnsi="Wingdings" w:hint="default"/>
      </w:rPr>
    </w:lvl>
    <w:lvl w:ilvl="3" w:tplc="04070001">
      <w:start w:val="1"/>
      <w:numFmt w:val="bullet"/>
      <w:lvlText w:val=""/>
      <w:lvlJc w:val="left"/>
      <w:pPr>
        <w:ind w:left="1247" w:hanging="311"/>
      </w:pPr>
      <w:rPr>
        <w:rFonts w:ascii="Wingdings" w:hAnsi="Wingdings" w:hint="default"/>
      </w:rPr>
    </w:lvl>
    <w:lvl w:ilvl="4" w:tplc="04070003">
      <w:start w:val="1"/>
      <w:numFmt w:val="bullet"/>
      <w:lvlText w:val=""/>
      <w:lvlJc w:val="left"/>
      <w:pPr>
        <w:ind w:left="1559" w:hanging="312"/>
      </w:pPr>
      <w:rPr>
        <w:rFonts w:ascii="Wingdings" w:hAnsi="Wingdings" w:hint="default"/>
      </w:rPr>
    </w:lvl>
    <w:lvl w:ilvl="5" w:tplc="04070005">
      <w:start w:val="1"/>
      <w:numFmt w:val="bullet"/>
      <w:lvlText w:val=""/>
      <w:lvlJc w:val="left"/>
      <w:pPr>
        <w:ind w:left="1871" w:hanging="312"/>
      </w:pPr>
      <w:rPr>
        <w:rFonts w:ascii="Wingdings" w:hAnsi="Wingdings" w:hint="default"/>
      </w:rPr>
    </w:lvl>
    <w:lvl w:ilvl="6" w:tplc="04070001">
      <w:start w:val="1"/>
      <w:numFmt w:val="bullet"/>
      <w:lvlText w:val=""/>
      <w:lvlJc w:val="left"/>
      <w:pPr>
        <w:ind w:left="2126" w:hanging="255"/>
      </w:pPr>
      <w:rPr>
        <w:rFonts w:ascii="Wingdings" w:hAnsi="Wingdings" w:hint="default"/>
      </w:rPr>
    </w:lvl>
    <w:lvl w:ilvl="7" w:tplc="04070003">
      <w:start w:val="1"/>
      <w:numFmt w:val="bullet"/>
      <w:lvlText w:val=""/>
      <w:lvlJc w:val="left"/>
      <w:pPr>
        <w:ind w:left="2495" w:hanging="312"/>
      </w:pPr>
      <w:rPr>
        <w:rFonts w:ascii="Wingdings" w:hAnsi="Wingdings" w:hint="default"/>
      </w:rPr>
    </w:lvl>
    <w:lvl w:ilvl="8" w:tplc="04070005">
      <w:start w:val="1"/>
      <w:numFmt w:val="bullet"/>
      <w:lvlText w:val=""/>
      <w:lvlJc w:val="left"/>
      <w:pPr>
        <w:ind w:left="2807" w:hanging="312"/>
      </w:pPr>
      <w:rPr>
        <w:rFonts w:ascii="Wingdings" w:hAnsi="Wingdings" w:hint="default"/>
      </w:rPr>
    </w:lvl>
  </w:abstractNum>
  <w:abstractNum w:abstractNumId="7" w15:restartNumberingAfterBreak="0">
    <w:nsid w:val="70F127A2"/>
    <w:multiLevelType w:val="multilevel"/>
    <w:tmpl w:val="619E6994"/>
    <w:lvl w:ilvl="0">
      <w:start w:val="1"/>
      <w:numFmt w:val="decimal"/>
      <w:pStyle w:val="ListNumber"/>
      <w:lvlText w:val="%1."/>
      <w:lvlJc w:val="left"/>
      <w:pPr>
        <w:ind w:left="312" w:hanging="312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ind w:left="624" w:hanging="312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ind w:left="936" w:hanging="312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ind w:left="1247" w:hanging="311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559" w:hanging="312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1871" w:hanging="31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83" w:hanging="312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495" w:hanging="312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807" w:hanging="312"/>
      </w:pPr>
      <w:rPr>
        <w:rFonts w:hint="default"/>
      </w:rPr>
    </w:lvl>
  </w:abstractNum>
  <w:abstractNum w:abstractNumId="8" w15:restartNumberingAfterBreak="0">
    <w:nsid w:val="730A19A8"/>
    <w:multiLevelType w:val="multilevel"/>
    <w:tmpl w:val="96BC3C3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530723023">
    <w:abstractNumId w:val="8"/>
  </w:num>
  <w:num w:numId="2" w16cid:durableId="927466748">
    <w:abstractNumId w:val="5"/>
  </w:num>
  <w:num w:numId="3" w16cid:durableId="912083637">
    <w:abstractNumId w:val="2"/>
  </w:num>
  <w:num w:numId="4" w16cid:durableId="1900359790">
    <w:abstractNumId w:val="1"/>
  </w:num>
  <w:num w:numId="5" w16cid:durableId="1984508118">
    <w:abstractNumId w:val="7"/>
  </w:num>
  <w:num w:numId="6" w16cid:durableId="597832477">
    <w:abstractNumId w:val="6"/>
  </w:num>
  <w:num w:numId="7" w16cid:durableId="1444692251">
    <w:abstractNumId w:val="6"/>
  </w:num>
  <w:num w:numId="8" w16cid:durableId="502861670">
    <w:abstractNumId w:val="3"/>
  </w:num>
  <w:num w:numId="9" w16cid:durableId="1221139615">
    <w:abstractNumId w:val="4"/>
  </w:num>
  <w:num w:numId="10" w16cid:durableId="9370588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AA"/>
    <w:rsid w:val="00005334"/>
    <w:rsid w:val="000103D2"/>
    <w:rsid w:val="00013881"/>
    <w:rsid w:val="000311AE"/>
    <w:rsid w:val="00036F3C"/>
    <w:rsid w:val="00037C46"/>
    <w:rsid w:val="00047A7F"/>
    <w:rsid w:val="0005297A"/>
    <w:rsid w:val="00053811"/>
    <w:rsid w:val="00063244"/>
    <w:rsid w:val="00065720"/>
    <w:rsid w:val="000748F3"/>
    <w:rsid w:val="000773AD"/>
    <w:rsid w:val="00082318"/>
    <w:rsid w:val="00082BBF"/>
    <w:rsid w:val="000851FB"/>
    <w:rsid w:val="00092AE4"/>
    <w:rsid w:val="000A05BE"/>
    <w:rsid w:val="000A0BDF"/>
    <w:rsid w:val="000A683F"/>
    <w:rsid w:val="000B282D"/>
    <w:rsid w:val="000B3794"/>
    <w:rsid w:val="000B739D"/>
    <w:rsid w:val="000C3BB8"/>
    <w:rsid w:val="000C4A8E"/>
    <w:rsid w:val="000C6D9F"/>
    <w:rsid w:val="000D408A"/>
    <w:rsid w:val="000D6C02"/>
    <w:rsid w:val="000E5EA1"/>
    <w:rsid w:val="000F791E"/>
    <w:rsid w:val="0010697A"/>
    <w:rsid w:val="00106E21"/>
    <w:rsid w:val="00112142"/>
    <w:rsid w:val="001140F1"/>
    <w:rsid w:val="00114A43"/>
    <w:rsid w:val="00125628"/>
    <w:rsid w:val="00127A37"/>
    <w:rsid w:val="00134970"/>
    <w:rsid w:val="0014108E"/>
    <w:rsid w:val="0015142B"/>
    <w:rsid w:val="0015446F"/>
    <w:rsid w:val="001714F9"/>
    <w:rsid w:val="00177016"/>
    <w:rsid w:val="0018276A"/>
    <w:rsid w:val="00185129"/>
    <w:rsid w:val="001C7845"/>
    <w:rsid w:val="001D3D88"/>
    <w:rsid w:val="001D6AAC"/>
    <w:rsid w:val="001E3213"/>
    <w:rsid w:val="001F1D5D"/>
    <w:rsid w:val="00202DBD"/>
    <w:rsid w:val="002226F5"/>
    <w:rsid w:val="00235B2E"/>
    <w:rsid w:val="00235D1A"/>
    <w:rsid w:val="00236332"/>
    <w:rsid w:val="0025247A"/>
    <w:rsid w:val="002602E3"/>
    <w:rsid w:val="00265E70"/>
    <w:rsid w:val="00267A14"/>
    <w:rsid w:val="002765BE"/>
    <w:rsid w:val="00281F34"/>
    <w:rsid w:val="00284565"/>
    <w:rsid w:val="0029527C"/>
    <w:rsid w:val="00295E43"/>
    <w:rsid w:val="002A328E"/>
    <w:rsid w:val="002B0B04"/>
    <w:rsid w:val="002C042A"/>
    <w:rsid w:val="002C0701"/>
    <w:rsid w:val="002D3D62"/>
    <w:rsid w:val="002F0E9D"/>
    <w:rsid w:val="002F21AE"/>
    <w:rsid w:val="002F25A2"/>
    <w:rsid w:val="002F2FDA"/>
    <w:rsid w:val="0030096C"/>
    <w:rsid w:val="003236F7"/>
    <w:rsid w:val="003254A1"/>
    <w:rsid w:val="0033006F"/>
    <w:rsid w:val="00341760"/>
    <w:rsid w:val="00341BFE"/>
    <w:rsid w:val="00352DFA"/>
    <w:rsid w:val="00353449"/>
    <w:rsid w:val="00354A30"/>
    <w:rsid w:val="003565F1"/>
    <w:rsid w:val="0036255C"/>
    <w:rsid w:val="0036661B"/>
    <w:rsid w:val="00366940"/>
    <w:rsid w:val="0037783B"/>
    <w:rsid w:val="00380137"/>
    <w:rsid w:val="00382E19"/>
    <w:rsid w:val="003868EA"/>
    <w:rsid w:val="00387E53"/>
    <w:rsid w:val="00394976"/>
    <w:rsid w:val="003B31A5"/>
    <w:rsid w:val="003C0EEE"/>
    <w:rsid w:val="003D3AB6"/>
    <w:rsid w:val="003D4E25"/>
    <w:rsid w:val="003E244D"/>
    <w:rsid w:val="003E70CE"/>
    <w:rsid w:val="003F1600"/>
    <w:rsid w:val="00401E36"/>
    <w:rsid w:val="00406722"/>
    <w:rsid w:val="0041347A"/>
    <w:rsid w:val="00414882"/>
    <w:rsid w:val="00423A58"/>
    <w:rsid w:val="0042407B"/>
    <w:rsid w:val="0042769F"/>
    <w:rsid w:val="00431972"/>
    <w:rsid w:val="004328C1"/>
    <w:rsid w:val="0043445D"/>
    <w:rsid w:val="00437549"/>
    <w:rsid w:val="00441C20"/>
    <w:rsid w:val="0044355B"/>
    <w:rsid w:val="004529D4"/>
    <w:rsid w:val="0045661C"/>
    <w:rsid w:val="00463B5B"/>
    <w:rsid w:val="004852A7"/>
    <w:rsid w:val="004878F2"/>
    <w:rsid w:val="004911A1"/>
    <w:rsid w:val="00495E6C"/>
    <w:rsid w:val="004A7AB2"/>
    <w:rsid w:val="004B0DE6"/>
    <w:rsid w:val="004B1B48"/>
    <w:rsid w:val="004D5AA0"/>
    <w:rsid w:val="004E2F4C"/>
    <w:rsid w:val="004E7365"/>
    <w:rsid w:val="004F0822"/>
    <w:rsid w:val="00505EF7"/>
    <w:rsid w:val="00510C28"/>
    <w:rsid w:val="00513383"/>
    <w:rsid w:val="00521F0F"/>
    <w:rsid w:val="00522145"/>
    <w:rsid w:val="00524AED"/>
    <w:rsid w:val="005324BF"/>
    <w:rsid w:val="00534A89"/>
    <w:rsid w:val="00537B70"/>
    <w:rsid w:val="00537E86"/>
    <w:rsid w:val="00542DCE"/>
    <w:rsid w:val="00546482"/>
    <w:rsid w:val="00546681"/>
    <w:rsid w:val="00551294"/>
    <w:rsid w:val="005637A6"/>
    <w:rsid w:val="00563D2C"/>
    <w:rsid w:val="00564D4F"/>
    <w:rsid w:val="0056594D"/>
    <w:rsid w:val="00572293"/>
    <w:rsid w:val="00583EA4"/>
    <w:rsid w:val="00591E6F"/>
    <w:rsid w:val="00597912"/>
    <w:rsid w:val="005A68C4"/>
    <w:rsid w:val="005A7ECE"/>
    <w:rsid w:val="005C2165"/>
    <w:rsid w:val="005C3D1F"/>
    <w:rsid w:val="005F4681"/>
    <w:rsid w:val="00610509"/>
    <w:rsid w:val="006120A7"/>
    <w:rsid w:val="00624F67"/>
    <w:rsid w:val="00627A82"/>
    <w:rsid w:val="00633CE4"/>
    <w:rsid w:val="00637AF7"/>
    <w:rsid w:val="0064512F"/>
    <w:rsid w:val="00647203"/>
    <w:rsid w:val="00647CFC"/>
    <w:rsid w:val="00650790"/>
    <w:rsid w:val="006735F2"/>
    <w:rsid w:val="00694E5E"/>
    <w:rsid w:val="00695C7C"/>
    <w:rsid w:val="006A4E34"/>
    <w:rsid w:val="006A60ED"/>
    <w:rsid w:val="006B1794"/>
    <w:rsid w:val="006C67CE"/>
    <w:rsid w:val="006D5910"/>
    <w:rsid w:val="006D5BF9"/>
    <w:rsid w:val="006E10C8"/>
    <w:rsid w:val="006E2146"/>
    <w:rsid w:val="00701DA7"/>
    <w:rsid w:val="007042E2"/>
    <w:rsid w:val="00722BB6"/>
    <w:rsid w:val="00736F7A"/>
    <w:rsid w:val="00745D40"/>
    <w:rsid w:val="00746F52"/>
    <w:rsid w:val="00747BF9"/>
    <w:rsid w:val="00747EA8"/>
    <w:rsid w:val="00751B93"/>
    <w:rsid w:val="00757150"/>
    <w:rsid w:val="00757267"/>
    <w:rsid w:val="0076527F"/>
    <w:rsid w:val="0077571B"/>
    <w:rsid w:val="0078008D"/>
    <w:rsid w:val="007808E8"/>
    <w:rsid w:val="00784417"/>
    <w:rsid w:val="007B1243"/>
    <w:rsid w:val="007B2E6D"/>
    <w:rsid w:val="007B35E0"/>
    <w:rsid w:val="007D0446"/>
    <w:rsid w:val="007E16E9"/>
    <w:rsid w:val="007F1D68"/>
    <w:rsid w:val="007F523C"/>
    <w:rsid w:val="00802F9E"/>
    <w:rsid w:val="008160BD"/>
    <w:rsid w:val="00822752"/>
    <w:rsid w:val="008400CF"/>
    <w:rsid w:val="00840480"/>
    <w:rsid w:val="00840A9A"/>
    <w:rsid w:val="008430B8"/>
    <w:rsid w:val="0084526D"/>
    <w:rsid w:val="008461B9"/>
    <w:rsid w:val="0086314D"/>
    <w:rsid w:val="00864483"/>
    <w:rsid w:val="0086467A"/>
    <w:rsid w:val="00883079"/>
    <w:rsid w:val="0088741A"/>
    <w:rsid w:val="00895F87"/>
    <w:rsid w:val="008A68D1"/>
    <w:rsid w:val="008B0BD9"/>
    <w:rsid w:val="008B1502"/>
    <w:rsid w:val="008C65F4"/>
    <w:rsid w:val="008E668B"/>
    <w:rsid w:val="008F3D81"/>
    <w:rsid w:val="0090496C"/>
    <w:rsid w:val="00904B1D"/>
    <w:rsid w:val="00911E4C"/>
    <w:rsid w:val="009136E9"/>
    <w:rsid w:val="009310B4"/>
    <w:rsid w:val="00942A39"/>
    <w:rsid w:val="0095143A"/>
    <w:rsid w:val="00955CD1"/>
    <w:rsid w:val="00970340"/>
    <w:rsid w:val="00977970"/>
    <w:rsid w:val="00990C0F"/>
    <w:rsid w:val="00993B1E"/>
    <w:rsid w:val="00994314"/>
    <w:rsid w:val="009960B1"/>
    <w:rsid w:val="009D47C8"/>
    <w:rsid w:val="009D6E10"/>
    <w:rsid w:val="009E0C00"/>
    <w:rsid w:val="009E1DAA"/>
    <w:rsid w:val="009E50A7"/>
    <w:rsid w:val="009F4688"/>
    <w:rsid w:val="009F6ED6"/>
    <w:rsid w:val="00A0400B"/>
    <w:rsid w:val="00A04D9F"/>
    <w:rsid w:val="00A05155"/>
    <w:rsid w:val="00A12158"/>
    <w:rsid w:val="00A12621"/>
    <w:rsid w:val="00A2368F"/>
    <w:rsid w:val="00A23A24"/>
    <w:rsid w:val="00A30433"/>
    <w:rsid w:val="00A32735"/>
    <w:rsid w:val="00A348B2"/>
    <w:rsid w:val="00A350F7"/>
    <w:rsid w:val="00A35C41"/>
    <w:rsid w:val="00A44D7A"/>
    <w:rsid w:val="00A46505"/>
    <w:rsid w:val="00A574AD"/>
    <w:rsid w:val="00A713ED"/>
    <w:rsid w:val="00A80DC0"/>
    <w:rsid w:val="00A83E0F"/>
    <w:rsid w:val="00A94C10"/>
    <w:rsid w:val="00AA2B9B"/>
    <w:rsid w:val="00AA6C9B"/>
    <w:rsid w:val="00AB0176"/>
    <w:rsid w:val="00AB1C3F"/>
    <w:rsid w:val="00AB5025"/>
    <w:rsid w:val="00AB6B71"/>
    <w:rsid w:val="00AC0825"/>
    <w:rsid w:val="00AD2EE9"/>
    <w:rsid w:val="00AD327E"/>
    <w:rsid w:val="00AF052D"/>
    <w:rsid w:val="00AF09A7"/>
    <w:rsid w:val="00AF09EA"/>
    <w:rsid w:val="00AF502C"/>
    <w:rsid w:val="00B11336"/>
    <w:rsid w:val="00B1768F"/>
    <w:rsid w:val="00B228FE"/>
    <w:rsid w:val="00B32B7E"/>
    <w:rsid w:val="00B358ED"/>
    <w:rsid w:val="00B413CA"/>
    <w:rsid w:val="00B5203F"/>
    <w:rsid w:val="00B61EBC"/>
    <w:rsid w:val="00B836B4"/>
    <w:rsid w:val="00B85689"/>
    <w:rsid w:val="00B86A1A"/>
    <w:rsid w:val="00B97A0E"/>
    <w:rsid w:val="00BB1788"/>
    <w:rsid w:val="00BB199C"/>
    <w:rsid w:val="00BB313D"/>
    <w:rsid w:val="00BC51A6"/>
    <w:rsid w:val="00BF13D2"/>
    <w:rsid w:val="00C10DE3"/>
    <w:rsid w:val="00C10E18"/>
    <w:rsid w:val="00C14499"/>
    <w:rsid w:val="00C20526"/>
    <w:rsid w:val="00C32642"/>
    <w:rsid w:val="00C37EC7"/>
    <w:rsid w:val="00C57C63"/>
    <w:rsid w:val="00C635C3"/>
    <w:rsid w:val="00C663A6"/>
    <w:rsid w:val="00C74960"/>
    <w:rsid w:val="00C77780"/>
    <w:rsid w:val="00C82B0F"/>
    <w:rsid w:val="00CA11CF"/>
    <w:rsid w:val="00CA19FE"/>
    <w:rsid w:val="00CB0205"/>
    <w:rsid w:val="00CB1C85"/>
    <w:rsid w:val="00CD5355"/>
    <w:rsid w:val="00CF5E2D"/>
    <w:rsid w:val="00CF75C7"/>
    <w:rsid w:val="00D01A7D"/>
    <w:rsid w:val="00D1000E"/>
    <w:rsid w:val="00D11EAD"/>
    <w:rsid w:val="00D20014"/>
    <w:rsid w:val="00D317A2"/>
    <w:rsid w:val="00D37367"/>
    <w:rsid w:val="00D42604"/>
    <w:rsid w:val="00D43A5D"/>
    <w:rsid w:val="00D50523"/>
    <w:rsid w:val="00D6379D"/>
    <w:rsid w:val="00D65D6D"/>
    <w:rsid w:val="00D6652C"/>
    <w:rsid w:val="00D86974"/>
    <w:rsid w:val="00D9692C"/>
    <w:rsid w:val="00D96F8C"/>
    <w:rsid w:val="00DA5A9A"/>
    <w:rsid w:val="00DD1741"/>
    <w:rsid w:val="00DE0675"/>
    <w:rsid w:val="00DE4750"/>
    <w:rsid w:val="00DF5689"/>
    <w:rsid w:val="00DF6E88"/>
    <w:rsid w:val="00E0520D"/>
    <w:rsid w:val="00E1000C"/>
    <w:rsid w:val="00E10F3F"/>
    <w:rsid w:val="00E13FD9"/>
    <w:rsid w:val="00E233CD"/>
    <w:rsid w:val="00E70474"/>
    <w:rsid w:val="00E72BDE"/>
    <w:rsid w:val="00E81FBC"/>
    <w:rsid w:val="00E866D0"/>
    <w:rsid w:val="00E9510C"/>
    <w:rsid w:val="00EA00BC"/>
    <w:rsid w:val="00EA39F9"/>
    <w:rsid w:val="00EA444C"/>
    <w:rsid w:val="00EA75D9"/>
    <w:rsid w:val="00EB48AA"/>
    <w:rsid w:val="00EB4A7C"/>
    <w:rsid w:val="00EB62A8"/>
    <w:rsid w:val="00EC7B75"/>
    <w:rsid w:val="00EE5DD2"/>
    <w:rsid w:val="00EF3386"/>
    <w:rsid w:val="00F02CC5"/>
    <w:rsid w:val="00F04110"/>
    <w:rsid w:val="00F05800"/>
    <w:rsid w:val="00F160AC"/>
    <w:rsid w:val="00F16293"/>
    <w:rsid w:val="00F25657"/>
    <w:rsid w:val="00F31FC9"/>
    <w:rsid w:val="00F41E16"/>
    <w:rsid w:val="00F50FD6"/>
    <w:rsid w:val="00F54934"/>
    <w:rsid w:val="00F63A0F"/>
    <w:rsid w:val="00F66DC5"/>
    <w:rsid w:val="00F9611D"/>
    <w:rsid w:val="00FA2A0E"/>
    <w:rsid w:val="00FB3438"/>
    <w:rsid w:val="00FB7825"/>
    <w:rsid w:val="00FD3D50"/>
    <w:rsid w:val="00FE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  <w14:docId w14:val="4E0AB085"/>
  <w15:chartTrackingRefBased/>
  <w15:docId w15:val="{9069B364-FF7E-4F84-ACF0-B3323887E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lang w:val="de-DE" w:eastAsia="zh-CN" w:bidi="ar-SA"/>
      </w:rPr>
    </w:rPrDefault>
    <w:pPrDefault>
      <w:pPr>
        <w:spacing w:after="200" w:line="26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4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4" w:unhideWhenUsed="1"/>
    <w:lsdException w:name="List Bullet 3" w:semiHidden="1" w:uiPriority="34" w:unhideWhenUsed="1"/>
    <w:lsdException w:name="List Bullet 4" w:semiHidden="1" w:uiPriority="34" w:unhideWhenUsed="1"/>
    <w:lsdException w:name="List Bullet 5" w:semiHidden="1" w:uiPriority="3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0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/>
    <w:lsdException w:name="Intense Emphasis" w:uiPriority="20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340"/>
    <w:pPr>
      <w:spacing w:after="0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1600"/>
    <w:pPr>
      <w:keepNext/>
      <w:keepLines/>
      <w:numPr>
        <w:numId w:val="1"/>
      </w:numPr>
      <w:spacing w:before="240" w:after="20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F1600"/>
    <w:pPr>
      <w:keepNext/>
      <w:keepLines/>
      <w:numPr>
        <w:ilvl w:val="1"/>
        <w:numId w:val="1"/>
      </w:numPr>
      <w:spacing w:before="240" w:after="20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F1600"/>
    <w:pPr>
      <w:numPr>
        <w:ilvl w:val="2"/>
      </w:numPr>
      <w:outlineLvl w:val="2"/>
    </w:pPr>
    <w:rPr>
      <w:b/>
      <w:bCs/>
      <w:color w:val="000000" w:themeColor="text1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rsid w:val="003F1600"/>
    <w:pPr>
      <w:numPr>
        <w:ilvl w:val="3"/>
      </w:numPr>
      <w:outlineLvl w:val="3"/>
    </w:pPr>
    <w:rPr>
      <w:b w:val="0"/>
      <w:bCs w:val="0"/>
      <w:color w:val="auto"/>
    </w:rPr>
  </w:style>
  <w:style w:type="paragraph" w:styleId="Heading5">
    <w:name w:val="heading 5"/>
    <w:basedOn w:val="Heading3"/>
    <w:next w:val="Normal"/>
    <w:link w:val="Heading5Char"/>
    <w:uiPriority w:val="9"/>
    <w:semiHidden/>
    <w:unhideWhenUsed/>
    <w:rsid w:val="003F1600"/>
    <w:pPr>
      <w:numPr>
        <w:ilvl w:val="4"/>
      </w:numPr>
      <w:outlineLvl w:val="4"/>
    </w:pPr>
    <w:rPr>
      <w:sz w:val="20"/>
      <w:szCs w:val="20"/>
    </w:rPr>
  </w:style>
  <w:style w:type="paragraph" w:styleId="Heading6">
    <w:name w:val="heading 6"/>
    <w:basedOn w:val="Heading4"/>
    <w:next w:val="Normal"/>
    <w:link w:val="Heading6Char"/>
    <w:uiPriority w:val="9"/>
    <w:semiHidden/>
    <w:unhideWhenUsed/>
    <w:rsid w:val="003F1600"/>
    <w:pPr>
      <w:numPr>
        <w:ilvl w:val="5"/>
      </w:numPr>
      <w:outlineLvl w:val="5"/>
    </w:pPr>
    <w:rPr>
      <w:sz w:val="20"/>
      <w:szCs w:val="20"/>
    </w:rPr>
  </w:style>
  <w:style w:type="paragraph" w:styleId="Heading7">
    <w:name w:val="heading 7"/>
    <w:basedOn w:val="Heading5"/>
    <w:next w:val="Normal"/>
    <w:link w:val="Heading7Char"/>
    <w:uiPriority w:val="9"/>
    <w:semiHidden/>
    <w:unhideWhenUsed/>
    <w:rsid w:val="003F1600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6"/>
    <w:next w:val="Normal"/>
    <w:link w:val="Heading8Char"/>
    <w:uiPriority w:val="9"/>
    <w:semiHidden/>
    <w:unhideWhenUsed/>
    <w:rsid w:val="003F1600"/>
    <w:pPr>
      <w:numPr>
        <w:ilvl w:val="7"/>
      </w:numPr>
      <w:outlineLvl w:val="7"/>
    </w:pPr>
    <w:rPr>
      <w:i/>
      <w:iCs/>
    </w:rPr>
  </w:style>
  <w:style w:type="paragraph" w:styleId="Heading9">
    <w:name w:val="heading 9"/>
    <w:basedOn w:val="Heading7"/>
    <w:next w:val="Normal"/>
    <w:link w:val="Heading9Char"/>
    <w:uiPriority w:val="9"/>
    <w:semiHidden/>
    <w:unhideWhenUsed/>
    <w:rsid w:val="003F1600"/>
    <w:pPr>
      <w:numPr>
        <w:ilvl w:val="8"/>
      </w:numPr>
      <w:outlineLvl w:val="8"/>
    </w:pPr>
    <w:rPr>
      <w:b w:val="0"/>
      <w:bCs w:val="0"/>
      <w:i w:val="0"/>
      <w:iCs w:val="0"/>
      <w:color w:val="4D4E53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F1600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0BDF"/>
    <w:rPr>
      <w:sz w:val="15"/>
      <w:szCs w:val="15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3F1600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3F1600"/>
    <w:pPr>
      <w:spacing w:after="380" w:line="240" w:lineRule="auto"/>
    </w:pPr>
    <w:rPr>
      <w:rFonts w:asciiTheme="majorHAnsi" w:eastAsiaTheme="majorEastAsia" w:hAnsiTheme="majorHAnsi" w:cstheme="majorBidi"/>
      <w:b/>
      <w:bCs/>
      <w:spacing w:val="5"/>
      <w:kern w:val="28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013881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773AD"/>
    <w:rPr>
      <w:rFonts w:asciiTheme="majorHAnsi" w:eastAsiaTheme="majorEastAsia" w:hAnsiTheme="majorHAnsi" w:cstheme="majorBidi"/>
      <w:b/>
      <w:bCs/>
      <w:spacing w:val="5"/>
      <w:kern w:val="28"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1600"/>
    <w:pPr>
      <w:numPr>
        <w:ilvl w:val="1"/>
      </w:numPr>
      <w:spacing w:after="60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3236F7"/>
    <w:rPr>
      <w:rFonts w:asciiTheme="majorHAnsi" w:eastAsiaTheme="majorEastAsia" w:hAnsiTheme="majorHAnsi" w:cstheme="majorBidi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94314"/>
    <w:rPr>
      <w:rFonts w:asciiTheme="majorHAnsi" w:eastAsiaTheme="majorEastAsia" w:hAnsiTheme="majorHAnsi" w:cstheme="majorBidi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125628"/>
    <w:pPr>
      <w:numPr>
        <w:numId w:val="7"/>
      </w:num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C32642"/>
    <w:rPr>
      <w:rFonts w:asciiTheme="majorHAnsi" w:eastAsiaTheme="majorEastAsia" w:hAnsiTheme="majorHAnsi" w:cstheme="majorBidi"/>
      <w:b/>
      <w:bCs/>
      <w:color w:val="000000" w:themeColor="text1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3F1600"/>
    <w:rPr>
      <w:i/>
      <w:iCs/>
      <w:color w:val="auto"/>
    </w:rPr>
  </w:style>
  <w:style w:type="paragraph" w:styleId="Caption">
    <w:name w:val="caption"/>
    <w:basedOn w:val="Normal"/>
    <w:next w:val="Normal"/>
    <w:uiPriority w:val="35"/>
    <w:qFormat/>
    <w:rsid w:val="003F1600"/>
    <w:rPr>
      <w:b/>
      <w:bCs/>
      <w:sz w:val="15"/>
      <w:szCs w:val="15"/>
    </w:rPr>
  </w:style>
  <w:style w:type="paragraph" w:styleId="ListNumber">
    <w:name w:val="List Number"/>
    <w:basedOn w:val="Normal"/>
    <w:uiPriority w:val="39"/>
    <w:qFormat/>
    <w:rsid w:val="006B1794"/>
    <w:pPr>
      <w:numPr>
        <w:numId w:val="5"/>
      </w:numPr>
      <w:spacing w:after="100"/>
    </w:pPr>
  </w:style>
  <w:style w:type="character" w:styleId="Hyperlink">
    <w:name w:val="Hyperlink"/>
    <w:basedOn w:val="DefaultParagraphFont"/>
    <w:uiPriority w:val="37"/>
    <w:qFormat/>
    <w:rsid w:val="003F1600"/>
    <w:rPr>
      <w:color w:val="0A509E" w:themeColor="hyperlink"/>
    </w:rPr>
  </w:style>
  <w:style w:type="table" w:styleId="TableGrid">
    <w:name w:val="Table Grid"/>
    <w:basedOn w:val="TableNormal"/>
    <w:uiPriority w:val="59"/>
    <w:rsid w:val="003F1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16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681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642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681"/>
    <w:rPr>
      <w:rFonts w:asciiTheme="majorHAnsi" w:eastAsiaTheme="majorEastAsia" w:hAnsiTheme="majorHAnsi" w:cstheme="majorBidi"/>
      <w:b/>
      <w:bCs/>
      <w:color w:val="000000" w:themeColor="text1"/>
      <w:lang w:val="en-US"/>
    </w:rPr>
  </w:style>
  <w:style w:type="paragraph" w:styleId="List">
    <w:name w:val="List"/>
    <w:basedOn w:val="Normal"/>
    <w:uiPriority w:val="39"/>
    <w:semiHidden/>
    <w:unhideWhenUsed/>
    <w:rsid w:val="003F1600"/>
    <w:pPr>
      <w:numPr>
        <w:numId w:val="2"/>
      </w:numPr>
      <w:spacing w:after="100"/>
    </w:pPr>
  </w:style>
  <w:style w:type="paragraph" w:styleId="Header">
    <w:name w:val="header"/>
    <w:basedOn w:val="Normal"/>
    <w:link w:val="HeaderChar"/>
    <w:unhideWhenUsed/>
    <w:rsid w:val="003F1600"/>
    <w:pPr>
      <w:tabs>
        <w:tab w:val="center" w:pos="4536"/>
        <w:tab w:val="right" w:pos="9072"/>
      </w:tabs>
      <w:spacing w:line="264" w:lineRule="auto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rsid w:val="00D37367"/>
    <w:rPr>
      <w:sz w:val="15"/>
      <w:szCs w:val="15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F1600"/>
    <w:pPr>
      <w:tabs>
        <w:tab w:val="center" w:pos="4536"/>
        <w:tab w:val="right" w:pos="9072"/>
      </w:tabs>
      <w:spacing w:line="264" w:lineRule="auto"/>
    </w:pPr>
    <w:rPr>
      <w:sz w:val="15"/>
      <w:szCs w:val="15"/>
    </w:rPr>
  </w:style>
  <w:style w:type="character" w:customStyle="1" w:styleId="FooterChar">
    <w:name w:val="Footer Char"/>
    <w:basedOn w:val="DefaultParagraphFont"/>
    <w:link w:val="Footer"/>
    <w:uiPriority w:val="99"/>
    <w:rsid w:val="00D37367"/>
    <w:rPr>
      <w:sz w:val="15"/>
      <w:szCs w:val="15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681"/>
    <w:rPr>
      <w:rFonts w:asciiTheme="majorHAnsi" w:eastAsiaTheme="majorEastAsia" w:hAnsiTheme="majorHAnsi" w:cstheme="majorBidi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681"/>
    <w:rPr>
      <w:rFonts w:asciiTheme="majorHAnsi" w:eastAsiaTheme="majorEastAsia" w:hAnsiTheme="majorHAnsi" w:cstheme="majorBidi"/>
      <w:b/>
      <w:bCs/>
      <w:i/>
      <w:iCs/>
      <w:color w:val="000000" w:themeColor="text1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681"/>
    <w:rPr>
      <w:rFonts w:asciiTheme="majorHAnsi" w:eastAsiaTheme="majorEastAsia" w:hAnsiTheme="majorHAnsi" w:cstheme="majorBidi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681"/>
    <w:rPr>
      <w:rFonts w:asciiTheme="majorHAnsi" w:eastAsiaTheme="majorEastAsia" w:hAnsiTheme="majorHAnsi" w:cstheme="majorBidi"/>
      <w:color w:val="4D4E53" w:themeColor="text2"/>
      <w:lang w:val="en-US"/>
    </w:rPr>
  </w:style>
  <w:style w:type="character" w:styleId="SubtleEmphasis">
    <w:name w:val="Subtle Emphasis"/>
    <w:basedOn w:val="DefaultParagraphFont"/>
    <w:uiPriority w:val="21"/>
    <w:rsid w:val="003F1600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0"/>
    <w:qFormat/>
    <w:rsid w:val="003F1600"/>
    <w:rPr>
      <w:b/>
      <w:bCs/>
      <w:i/>
      <w:iCs/>
      <w:color w:val="34909C" w:themeColor="accent1"/>
    </w:rPr>
  </w:style>
  <w:style w:type="character" w:styleId="Strong">
    <w:name w:val="Strong"/>
    <w:basedOn w:val="DefaultParagraphFont"/>
    <w:uiPriority w:val="19"/>
    <w:rsid w:val="003F1600"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rsid w:val="003F160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2226F5"/>
    <w:rPr>
      <w:i/>
      <w:iCs/>
      <w:color w:val="000000" w:themeColor="tex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3F1600"/>
    <w:pPr>
      <w:pBdr>
        <w:bottom w:val="single" w:sz="4" w:space="4" w:color="34909C" w:themeColor="accent1"/>
      </w:pBdr>
      <w:spacing w:before="200" w:after="280"/>
      <w:ind w:left="936" w:right="936"/>
    </w:pPr>
    <w:rPr>
      <w:b/>
      <w:bCs/>
      <w:i/>
      <w:iCs/>
      <w:color w:val="34909C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2226F5"/>
    <w:rPr>
      <w:b/>
      <w:bCs/>
      <w:i/>
      <w:iCs/>
      <w:color w:val="34909C" w:themeColor="accent1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3F1600"/>
    <w:rPr>
      <w:smallCaps/>
      <w:color w:val="8DC63F" w:themeColor="accent2"/>
      <w:u w:val="single"/>
    </w:rPr>
  </w:style>
  <w:style w:type="character" w:styleId="IntenseReference">
    <w:name w:val="Intense Reference"/>
    <w:basedOn w:val="DefaultParagraphFont"/>
    <w:uiPriority w:val="32"/>
    <w:semiHidden/>
    <w:unhideWhenUsed/>
    <w:rsid w:val="003F1600"/>
    <w:rPr>
      <w:b/>
      <w:bCs/>
      <w:smallCaps/>
      <w:color w:val="8DC63F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semiHidden/>
    <w:unhideWhenUsed/>
    <w:rsid w:val="003F1600"/>
    <w:rPr>
      <w:b/>
      <w:bCs/>
      <w:smallCap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1600"/>
  </w:style>
  <w:style w:type="paragraph" w:styleId="TOC1">
    <w:name w:val="toc 1"/>
    <w:basedOn w:val="Normal"/>
    <w:next w:val="Normal"/>
    <w:autoRedefine/>
    <w:uiPriority w:val="99"/>
    <w:semiHidden/>
    <w:unhideWhenUsed/>
    <w:rsid w:val="00784417"/>
    <w:pPr>
      <w:tabs>
        <w:tab w:val="left" w:pos="284"/>
        <w:tab w:val="right" w:leader="dot" w:pos="9390"/>
      </w:tabs>
      <w:spacing w:before="260"/>
      <w:ind w:left="284" w:hanging="284"/>
    </w:pPr>
    <w:rPr>
      <w:b/>
      <w:bCs/>
      <w:noProof/>
    </w:rPr>
  </w:style>
  <w:style w:type="paragraph" w:styleId="TOCHeading">
    <w:name w:val="TOC Heading"/>
    <w:basedOn w:val="Heading1"/>
    <w:next w:val="Normal"/>
    <w:uiPriority w:val="99"/>
    <w:semiHidden/>
    <w:unhideWhenUsed/>
    <w:rsid w:val="003F1600"/>
    <w:pPr>
      <w:numPr>
        <w:numId w:val="0"/>
      </w:numPr>
      <w:spacing w:before="0" w:after="320"/>
      <w:outlineLvl w:val="9"/>
    </w:pPr>
  </w:style>
  <w:style w:type="paragraph" w:styleId="BlockText">
    <w:name w:val="Block Text"/>
    <w:basedOn w:val="Normal"/>
    <w:uiPriority w:val="99"/>
    <w:semiHidden/>
    <w:unhideWhenUsed/>
    <w:rsid w:val="003F1600"/>
    <w:pPr>
      <w:pBdr>
        <w:top w:val="single" w:sz="2" w:space="10" w:color="34909C" w:themeColor="accent1" w:frame="1"/>
        <w:left w:val="single" w:sz="2" w:space="10" w:color="34909C" w:themeColor="accent1" w:frame="1"/>
        <w:bottom w:val="single" w:sz="2" w:space="10" w:color="34909C" w:themeColor="accent1" w:frame="1"/>
        <w:right w:val="single" w:sz="2" w:space="10" w:color="34909C" w:themeColor="accent1" w:frame="1"/>
      </w:pBdr>
      <w:ind w:left="1152" w:right="1152"/>
    </w:pPr>
    <w:rPr>
      <w:i/>
      <w:iCs/>
      <w:color w:val="34909C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3F160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4681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F160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4681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F160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4681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F160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4681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60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4681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F1600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4681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F160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4681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F160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4681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3F1600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4681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F1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1600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468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4681"/>
    <w:rPr>
      <w:b/>
      <w:bCs/>
      <w:lang w:val="en-GB"/>
    </w:rPr>
  </w:style>
  <w:style w:type="paragraph" w:styleId="Date">
    <w:name w:val="Date"/>
    <w:basedOn w:val="Normal"/>
    <w:next w:val="Normal"/>
    <w:link w:val="DateChar"/>
    <w:uiPriority w:val="37"/>
    <w:rsid w:val="003F1600"/>
    <w:pPr>
      <w:spacing w:after="200"/>
    </w:pPr>
  </w:style>
  <w:style w:type="character" w:customStyle="1" w:styleId="DateChar">
    <w:name w:val="Date Char"/>
    <w:basedOn w:val="DefaultParagraphFont"/>
    <w:link w:val="Date"/>
    <w:uiPriority w:val="37"/>
    <w:rsid w:val="00D37367"/>
    <w:rPr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6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4681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F160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4681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F1600"/>
    <w:pPr>
      <w:spacing w:after="100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0BDF"/>
    <w:rPr>
      <w:sz w:val="15"/>
      <w:szCs w:val="15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3F160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Arial" w:eastAsia="Arial Unicode MS" w:hAnsi="Arial" w:cs="Arial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F1600"/>
    <w:pPr>
      <w:spacing w:line="240" w:lineRule="auto"/>
    </w:pPr>
    <w:rPr>
      <w:rFonts w:ascii="Arial" w:eastAsia="Arial Unicode MS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F1600"/>
    <w:rPr>
      <w:color w:val="7993A3" w:themeColor="followedHyperlink"/>
      <w:u w:val="single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F1600"/>
    <w:rPr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3F1600"/>
  </w:style>
  <w:style w:type="paragraph" w:styleId="TOC2">
    <w:name w:val="toc 2"/>
    <w:basedOn w:val="Normal"/>
    <w:next w:val="Normal"/>
    <w:autoRedefine/>
    <w:uiPriority w:val="99"/>
    <w:semiHidden/>
    <w:unhideWhenUsed/>
    <w:rsid w:val="00784417"/>
    <w:pPr>
      <w:tabs>
        <w:tab w:val="right" w:leader="dot" w:pos="9390"/>
      </w:tabs>
      <w:ind w:left="459" w:hanging="459"/>
    </w:pPr>
    <w:rPr>
      <w:noProof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784417"/>
    <w:pPr>
      <w:tabs>
        <w:tab w:val="right" w:leader="dot" w:pos="9390"/>
      </w:tabs>
      <w:ind w:left="644" w:hanging="644"/>
    </w:pPr>
    <w:rPr>
      <w:noProof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784417"/>
    <w:pPr>
      <w:tabs>
        <w:tab w:val="right" w:leader="dot" w:pos="9390"/>
      </w:tabs>
      <w:ind w:left="812" w:hanging="812"/>
    </w:pPr>
    <w:rPr>
      <w:noProof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784417"/>
    <w:pPr>
      <w:tabs>
        <w:tab w:val="right" w:leader="dot" w:pos="9390"/>
      </w:tabs>
      <w:ind w:left="1008" w:hanging="1008"/>
    </w:pPr>
  </w:style>
  <w:style w:type="paragraph" w:styleId="TOC6">
    <w:name w:val="toc 6"/>
    <w:basedOn w:val="Normal"/>
    <w:next w:val="Normal"/>
    <w:autoRedefine/>
    <w:uiPriority w:val="99"/>
    <w:semiHidden/>
    <w:unhideWhenUsed/>
    <w:rsid w:val="00784417"/>
    <w:pPr>
      <w:tabs>
        <w:tab w:val="right" w:leader="dot" w:pos="9390"/>
      </w:tabs>
      <w:ind w:left="1176" w:hanging="1176"/>
    </w:pPr>
  </w:style>
  <w:style w:type="paragraph" w:styleId="TOC7">
    <w:name w:val="toc 7"/>
    <w:basedOn w:val="Normal"/>
    <w:next w:val="Normal"/>
    <w:autoRedefine/>
    <w:uiPriority w:val="99"/>
    <w:semiHidden/>
    <w:unhideWhenUsed/>
    <w:rsid w:val="00784417"/>
    <w:pPr>
      <w:tabs>
        <w:tab w:val="right" w:leader="dot" w:pos="9390"/>
      </w:tabs>
      <w:ind w:left="1358" w:hanging="1358"/>
    </w:pPr>
  </w:style>
  <w:style w:type="paragraph" w:styleId="TOC8">
    <w:name w:val="toc 8"/>
    <w:basedOn w:val="Normal"/>
    <w:next w:val="Normal"/>
    <w:autoRedefine/>
    <w:uiPriority w:val="99"/>
    <w:semiHidden/>
    <w:unhideWhenUsed/>
    <w:rsid w:val="00784417"/>
    <w:pPr>
      <w:tabs>
        <w:tab w:val="right" w:leader="dot" w:pos="9390"/>
      </w:tabs>
      <w:ind w:left="1540" w:hanging="1540"/>
    </w:pPr>
  </w:style>
  <w:style w:type="paragraph" w:styleId="TOC9">
    <w:name w:val="toc 9"/>
    <w:basedOn w:val="TOC8"/>
    <w:next w:val="Normal"/>
    <w:autoRedefine/>
    <w:uiPriority w:val="99"/>
    <w:semiHidden/>
    <w:unhideWhenUsed/>
    <w:rsid w:val="00784417"/>
    <w:pPr>
      <w:ind w:left="1650" w:hanging="1650"/>
    </w:pPr>
  </w:style>
  <w:style w:type="paragraph" w:styleId="ListNumber2">
    <w:name w:val="List Number 2"/>
    <w:basedOn w:val="Normal"/>
    <w:uiPriority w:val="39"/>
    <w:rsid w:val="006B1794"/>
    <w:pPr>
      <w:numPr>
        <w:ilvl w:val="1"/>
        <w:numId w:val="5"/>
      </w:numPr>
      <w:spacing w:after="100"/>
    </w:pPr>
  </w:style>
  <w:style w:type="paragraph" w:styleId="ListNumber3">
    <w:name w:val="List Number 3"/>
    <w:basedOn w:val="Normal"/>
    <w:uiPriority w:val="39"/>
    <w:semiHidden/>
    <w:unhideWhenUsed/>
    <w:rsid w:val="006B1794"/>
    <w:pPr>
      <w:numPr>
        <w:ilvl w:val="2"/>
        <w:numId w:val="5"/>
      </w:numPr>
      <w:spacing w:after="100"/>
    </w:pPr>
  </w:style>
  <w:style w:type="paragraph" w:styleId="ListNumber4">
    <w:name w:val="List Number 4"/>
    <w:basedOn w:val="Normal"/>
    <w:uiPriority w:val="39"/>
    <w:semiHidden/>
    <w:unhideWhenUsed/>
    <w:rsid w:val="006B1794"/>
    <w:pPr>
      <w:numPr>
        <w:ilvl w:val="3"/>
        <w:numId w:val="5"/>
      </w:numPr>
      <w:spacing w:after="100"/>
      <w:ind w:left="1248" w:hanging="312"/>
    </w:pPr>
  </w:style>
  <w:style w:type="paragraph" w:styleId="ListNumber5">
    <w:name w:val="List Number 5"/>
    <w:basedOn w:val="Normal"/>
    <w:uiPriority w:val="39"/>
    <w:semiHidden/>
    <w:unhideWhenUsed/>
    <w:rsid w:val="006B1794"/>
    <w:pPr>
      <w:numPr>
        <w:ilvl w:val="4"/>
        <w:numId w:val="5"/>
      </w:numPr>
      <w:spacing w:after="100"/>
    </w:pPr>
  </w:style>
  <w:style w:type="table" w:customStyle="1" w:styleId="MunichReTable">
    <w:name w:val="Munich Re Table"/>
    <w:basedOn w:val="TableNormal"/>
    <w:uiPriority w:val="99"/>
    <w:qFormat/>
    <w:rsid w:val="003F1600"/>
    <w:pPr>
      <w:spacing w:after="0" w:line="240" w:lineRule="auto"/>
    </w:p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48" w:space="0" w:color="FFFFFF" w:themeColor="background1"/>
      </w:tblBorders>
      <w:tblCellMar>
        <w:top w:w="74" w:type="dxa"/>
        <w:left w:w="142" w:type="dxa"/>
        <w:bottom w:w="74" w:type="dxa"/>
        <w:right w:w="142" w:type="dxa"/>
      </w:tblCellMar>
    </w:tblPr>
    <w:tcPr>
      <w:vAlign w:val="center"/>
    </w:tcPr>
    <w:tblStylePr w:type="firstRow">
      <w:rPr>
        <w:b/>
      </w:rPr>
      <w:tblPr/>
      <w:tcPr>
        <w:vAlign w:val="center"/>
      </w:tcPr>
    </w:tblStylePr>
  </w:style>
  <w:style w:type="character" w:customStyle="1" w:styleId="Red">
    <w:name w:val="Red"/>
    <w:basedOn w:val="DefaultParagraphFont"/>
    <w:uiPriority w:val="18"/>
    <w:qFormat/>
    <w:rsid w:val="003F1600"/>
    <w:rPr>
      <w:color w:val="B72126" w:themeColor="accent3"/>
    </w:rPr>
  </w:style>
  <w:style w:type="paragraph" w:styleId="List2">
    <w:name w:val="List 2"/>
    <w:basedOn w:val="Normal"/>
    <w:uiPriority w:val="39"/>
    <w:semiHidden/>
    <w:unhideWhenUsed/>
    <w:rsid w:val="003F1600"/>
    <w:pPr>
      <w:numPr>
        <w:ilvl w:val="1"/>
        <w:numId w:val="2"/>
      </w:numPr>
      <w:spacing w:after="100"/>
    </w:pPr>
  </w:style>
  <w:style w:type="paragraph" w:styleId="List3">
    <w:name w:val="List 3"/>
    <w:basedOn w:val="Normal"/>
    <w:uiPriority w:val="39"/>
    <w:semiHidden/>
    <w:unhideWhenUsed/>
    <w:rsid w:val="003F1600"/>
    <w:pPr>
      <w:numPr>
        <w:ilvl w:val="2"/>
        <w:numId w:val="2"/>
      </w:numPr>
      <w:spacing w:after="100"/>
    </w:pPr>
  </w:style>
  <w:style w:type="paragraph" w:styleId="List4">
    <w:name w:val="List 4"/>
    <w:basedOn w:val="Normal"/>
    <w:uiPriority w:val="39"/>
    <w:semiHidden/>
    <w:unhideWhenUsed/>
    <w:rsid w:val="003F1600"/>
    <w:pPr>
      <w:numPr>
        <w:ilvl w:val="3"/>
        <w:numId w:val="2"/>
      </w:numPr>
      <w:spacing w:after="100"/>
    </w:pPr>
  </w:style>
  <w:style w:type="paragraph" w:styleId="List5">
    <w:name w:val="List 5"/>
    <w:basedOn w:val="Normal"/>
    <w:uiPriority w:val="39"/>
    <w:semiHidden/>
    <w:unhideWhenUsed/>
    <w:rsid w:val="003F1600"/>
    <w:pPr>
      <w:numPr>
        <w:ilvl w:val="4"/>
        <w:numId w:val="2"/>
      </w:numPr>
      <w:spacing w:after="100"/>
    </w:pPr>
  </w:style>
  <w:style w:type="paragraph" w:styleId="ListBullet">
    <w:name w:val="List Bullet"/>
    <w:basedOn w:val="Normal"/>
    <w:uiPriority w:val="39"/>
    <w:rsid w:val="003F1600"/>
    <w:pPr>
      <w:numPr>
        <w:numId w:val="3"/>
      </w:numPr>
      <w:spacing w:after="100"/>
    </w:pPr>
  </w:style>
  <w:style w:type="paragraph" w:styleId="ListBullet2">
    <w:name w:val="List Bullet 2"/>
    <w:basedOn w:val="Normal"/>
    <w:uiPriority w:val="39"/>
    <w:rsid w:val="003F1600"/>
    <w:pPr>
      <w:numPr>
        <w:ilvl w:val="1"/>
        <w:numId w:val="3"/>
      </w:numPr>
      <w:spacing w:after="100"/>
    </w:pPr>
  </w:style>
  <w:style w:type="paragraph" w:styleId="ListBullet3">
    <w:name w:val="List Bullet 3"/>
    <w:basedOn w:val="Normal"/>
    <w:uiPriority w:val="39"/>
    <w:semiHidden/>
    <w:unhideWhenUsed/>
    <w:rsid w:val="003F1600"/>
    <w:pPr>
      <w:numPr>
        <w:ilvl w:val="2"/>
        <w:numId w:val="3"/>
      </w:numPr>
      <w:spacing w:after="100"/>
    </w:pPr>
  </w:style>
  <w:style w:type="paragraph" w:styleId="ListBullet4">
    <w:name w:val="List Bullet 4"/>
    <w:basedOn w:val="Normal"/>
    <w:uiPriority w:val="39"/>
    <w:semiHidden/>
    <w:unhideWhenUsed/>
    <w:rsid w:val="003F1600"/>
    <w:pPr>
      <w:numPr>
        <w:ilvl w:val="3"/>
        <w:numId w:val="3"/>
      </w:numPr>
      <w:spacing w:after="100"/>
    </w:pPr>
  </w:style>
  <w:style w:type="paragraph" w:styleId="ListBullet5">
    <w:name w:val="List Bullet 5"/>
    <w:basedOn w:val="Normal"/>
    <w:uiPriority w:val="39"/>
    <w:semiHidden/>
    <w:unhideWhenUsed/>
    <w:rsid w:val="003F1600"/>
    <w:pPr>
      <w:numPr>
        <w:ilvl w:val="4"/>
        <w:numId w:val="3"/>
      </w:numPr>
      <w:spacing w:after="100"/>
    </w:pPr>
  </w:style>
  <w:style w:type="paragraph" w:styleId="ListContinue">
    <w:name w:val="List Continue"/>
    <w:basedOn w:val="Normal"/>
    <w:uiPriority w:val="39"/>
    <w:semiHidden/>
    <w:unhideWhenUsed/>
    <w:rsid w:val="003F1600"/>
    <w:pPr>
      <w:numPr>
        <w:numId w:val="4"/>
      </w:numPr>
      <w:spacing w:after="100"/>
    </w:pPr>
  </w:style>
  <w:style w:type="paragraph" w:styleId="ListContinue2">
    <w:name w:val="List Continue 2"/>
    <w:basedOn w:val="Normal"/>
    <w:uiPriority w:val="39"/>
    <w:semiHidden/>
    <w:unhideWhenUsed/>
    <w:rsid w:val="003F1600"/>
    <w:pPr>
      <w:numPr>
        <w:ilvl w:val="1"/>
        <w:numId w:val="4"/>
      </w:numPr>
      <w:spacing w:after="100"/>
    </w:pPr>
  </w:style>
  <w:style w:type="paragraph" w:styleId="ListContinue3">
    <w:name w:val="List Continue 3"/>
    <w:basedOn w:val="Normal"/>
    <w:uiPriority w:val="39"/>
    <w:semiHidden/>
    <w:unhideWhenUsed/>
    <w:rsid w:val="003F1600"/>
    <w:pPr>
      <w:numPr>
        <w:ilvl w:val="2"/>
        <w:numId w:val="4"/>
      </w:numPr>
      <w:spacing w:after="100"/>
    </w:pPr>
  </w:style>
  <w:style w:type="paragraph" w:styleId="ListContinue4">
    <w:name w:val="List Continue 4"/>
    <w:basedOn w:val="Normal"/>
    <w:uiPriority w:val="39"/>
    <w:semiHidden/>
    <w:unhideWhenUsed/>
    <w:rsid w:val="003F1600"/>
    <w:pPr>
      <w:numPr>
        <w:ilvl w:val="3"/>
        <w:numId w:val="4"/>
      </w:numPr>
      <w:spacing w:after="100"/>
    </w:pPr>
  </w:style>
  <w:style w:type="paragraph" w:styleId="ListContinue5">
    <w:name w:val="List Continue 5"/>
    <w:basedOn w:val="Normal"/>
    <w:uiPriority w:val="39"/>
    <w:semiHidden/>
    <w:unhideWhenUsed/>
    <w:rsid w:val="003F1600"/>
    <w:pPr>
      <w:numPr>
        <w:ilvl w:val="4"/>
        <w:numId w:val="4"/>
      </w:numPr>
      <w:spacing w:after="100"/>
    </w:pPr>
  </w:style>
  <w:style w:type="character" w:customStyle="1" w:styleId="Hanging2Char">
    <w:name w:val="Hanging 2 Char"/>
    <w:link w:val="Hanging2"/>
    <w:locked/>
    <w:rsid w:val="000311AE"/>
    <w:rPr>
      <w:rFonts w:ascii="Arial" w:eastAsia="Times New Roman" w:hAnsi="Arial" w:cs="Times New Roman"/>
      <w:b/>
      <w:bCs/>
      <w:lang w:val="en-US" w:eastAsia="en-US"/>
    </w:rPr>
  </w:style>
  <w:style w:type="paragraph" w:customStyle="1" w:styleId="Hanging2">
    <w:name w:val="Hanging 2"/>
    <w:basedOn w:val="Normal"/>
    <w:link w:val="Hanging2Char"/>
    <w:rsid w:val="000311AE"/>
    <w:pPr>
      <w:widowControl w:val="0"/>
      <w:spacing w:before="120" w:line="220" w:lineRule="exact"/>
      <w:ind w:left="720" w:hanging="360"/>
      <w:jc w:val="both"/>
    </w:pPr>
    <w:rPr>
      <w:rFonts w:ascii="Arial" w:eastAsia="Times New Roman" w:hAnsi="Arial" w:cs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56594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Munich Re">
      <a:dk1>
        <a:sysClr val="windowText" lastClr="000000"/>
      </a:dk1>
      <a:lt1>
        <a:sysClr val="window" lastClr="FFFFFF"/>
      </a:lt1>
      <a:dk2>
        <a:srgbClr val="4D4E53"/>
      </a:dk2>
      <a:lt2>
        <a:srgbClr val="F7941D"/>
      </a:lt2>
      <a:accent1>
        <a:srgbClr val="34909C"/>
      </a:accent1>
      <a:accent2>
        <a:srgbClr val="8DC63F"/>
      </a:accent2>
      <a:accent3>
        <a:srgbClr val="B72126"/>
      </a:accent3>
      <a:accent4>
        <a:srgbClr val="B2C1CA"/>
      </a:accent4>
      <a:accent5>
        <a:srgbClr val="00589A"/>
      </a:accent5>
      <a:accent6>
        <a:srgbClr val="714A9C"/>
      </a:accent6>
      <a:hlink>
        <a:srgbClr val="0A509E"/>
      </a:hlink>
      <a:folHlink>
        <a:srgbClr val="7993A3"/>
      </a:folHlink>
    </a:clrScheme>
    <a:fontScheme name="Munich Re">
      <a:majorFont>
        <a:latin typeface="Arial"/>
        <a:ea typeface="Arial Unicode MS"/>
        <a:cs typeface="Arial"/>
      </a:majorFont>
      <a:minorFont>
        <a:latin typeface="Arial"/>
        <a:ea typeface="Arial Unicode MS"/>
        <a:cs typeface="Arial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4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effectLst/>
      </a:spPr>
      <a:bodyPr wrap="none" rtlCol="0">
        <a:spAutoFit/>
      </a:bodyPr>
      <a:lstStyle>
        <a:defPPr>
          <a:defRPr sz="1600" dirty="0" err="1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29617-940b-463d-a580-46cc6a3ad9da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f3c6f0c0-389c-4324-ac00-59fc67b57edf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626C5FE5478D47A22E980047D65A23" ma:contentTypeVersion="17" ma:contentTypeDescription="Create a new document." ma:contentTypeScope="" ma:versionID="e30a1eae391e90045a3d4022d841f34e">
  <xsd:schema xmlns:xsd="http://www.w3.org/2001/XMLSchema" xmlns:xs="http://www.w3.org/2001/XMLSchema" xmlns:p="http://schemas.microsoft.com/office/2006/metadata/properties" xmlns:ns3="ca729617-940b-463d-a580-46cc6a3ad9da" xmlns:ns4="5b6dad96-ec6f-4ead-9b72-187105c37257" xmlns:ns5="19e21a98-292d-497c-ba94-da0b82f7f09f" targetNamespace="http://schemas.microsoft.com/office/2006/metadata/properties" ma:root="true" ma:fieldsID="3218c48b900be31d4d99f3bbece3085c" ns3:_="" ns4:_="" ns5:_="">
    <xsd:import namespace="ca729617-940b-463d-a580-46cc6a3ad9da"/>
    <xsd:import namespace="5b6dad96-ec6f-4ead-9b72-187105c37257"/>
    <xsd:import namespace="19e21a98-292d-497c-ba94-da0b82f7f09f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29617-940b-463d-a580-46cc6a3ad9da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2facab1-7ed6-4362-b393-ef606079c235}" ma:internalName="TaxCatchAll" ma:showField="CatchAllData" ma:web="19e21a98-292d-497c-ba94-da0b82f7f0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2facab1-7ed6-4362-b393-ef606079c235}" ma:internalName="TaxCatchAllLabel" ma:readOnly="true" ma:showField="CatchAllDataLabel" ma:web="19e21a98-292d-497c-ba94-da0b82f7f0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6dad96-ec6f-4ead-9b72-187105c372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21a98-292d-497c-ba94-da0b82f7f0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9FED2E-7990-4B18-8193-446C87811274}">
  <ds:schemaRefs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19e21a98-292d-497c-ba94-da0b82f7f09f"/>
    <ds:schemaRef ds:uri="5b6dad96-ec6f-4ead-9b72-187105c37257"/>
    <ds:schemaRef ds:uri="ca729617-940b-463d-a580-46cc6a3ad9da"/>
  </ds:schemaRefs>
</ds:datastoreItem>
</file>

<file path=customXml/itemProps2.xml><?xml version="1.0" encoding="utf-8"?>
<ds:datastoreItem xmlns:ds="http://schemas.openxmlformats.org/officeDocument/2006/customXml" ds:itemID="{9A144813-E267-4A3A-84D0-28D6AC9875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7D0BD2-E878-4931-946E-EDAE9CE99B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C269F4-DCAB-431C-8981-DABD4F412B0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BC4746-680F-48E1-AB51-C740F8A52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29617-940b-463d-a580-46cc6a3ad9da"/>
    <ds:schemaRef ds:uri="5b6dad96-ec6f-4ead-9b72-187105c37257"/>
    <ds:schemaRef ds:uri="19e21a98-292d-497c-ba94-da0b82f7f0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Hartford Steam Boiler - MR ® &amp; RS &amp; IIC - Hartford-HSB - EN-US - Letter</dc:subject>
  <dc:creator>Leary Lauren - Hartford-HSB</dc:creator>
  <cp:keywords>Hartford-HSB;</cp:keywords>
  <dc:description/>
  <cp:lastModifiedBy>Ott, Kathleen W</cp:lastModifiedBy>
  <cp:revision>2</cp:revision>
  <dcterms:created xsi:type="dcterms:W3CDTF">2025-08-11T17:53:00Z</dcterms:created>
  <dcterms:modified xsi:type="dcterms:W3CDTF">2025-08-11T17:53:00Z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0x01010004626C5FE5478D47A22E980047D65A23</vt:lpwstr>
  </property>
  <property fmtid="{D5CDD505-2E9C-101B-9397-08002B2CF9AE}" pid="3" name="MSIP_Label_c6dace53-bb26-49c1-b263-21baa9bbd689_Enabled">
    <vt:lpwstr>true</vt:lpwstr>
  </property>
  <property fmtid="{D5CDD505-2E9C-101B-9397-08002B2CF9AE}" pid="4" name="MSIP_Label_c6dace53-bb26-49c1-b263-21baa9bbd689_SetDate">
    <vt:lpwstr>2023-06-28T15:26:11Z</vt:lpwstr>
  </property>
  <property fmtid="{D5CDD505-2E9C-101B-9397-08002B2CF9AE}" pid="5" name="MSIP_Label_c6dace53-bb26-49c1-b263-21baa9bbd689_Method">
    <vt:lpwstr>Privileged</vt:lpwstr>
  </property>
  <property fmtid="{D5CDD505-2E9C-101B-9397-08002B2CF9AE}" pid="6" name="MSIP_Label_c6dace53-bb26-49c1-b263-21baa9bbd689_Name">
    <vt:lpwstr>c6dace53-bb26-49c1-b263-21baa9bbd689</vt:lpwstr>
  </property>
  <property fmtid="{D5CDD505-2E9C-101B-9397-08002B2CF9AE}" pid="7" name="MSIP_Label_c6dace53-bb26-49c1-b263-21baa9bbd689_SiteId">
    <vt:lpwstr>582259a1-dcaa-4cca-b1cf-e60d3f045ecd</vt:lpwstr>
  </property>
  <property fmtid="{D5CDD505-2E9C-101B-9397-08002B2CF9AE}" pid="8" name="MSIP_Label_c6dace53-bb26-49c1-b263-21baa9bbd689_ActionId">
    <vt:lpwstr>1f540388-ae14-462f-b257-e8a0b462c9f4</vt:lpwstr>
  </property>
  <property fmtid="{D5CDD505-2E9C-101B-9397-08002B2CF9AE}" pid="9" name="MSIP_Label_c6dace53-bb26-49c1-b263-21baa9bbd689_ContentBits">
    <vt:lpwstr>0</vt:lpwstr>
  </property>
</Properties>
</file>